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Moral dilemma (Part 2)</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lesson, students will be reminded how to write algorithms as flow diagrams. They will then design two algorithms to program a driverless car. The algorithms will decide what the car will do in the two scenarios students considered in Lesson 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5">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algorithms are used to program driverless cars to make moral decisions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designed algorithms to program a driverless car to make moral decisions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justify their algorithms.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a range of ways to use technology safely, respectfully, responsibly and securely, including protecting their online identity and privacy</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aspects of the work in this module are closely linked to PSHE, In the final two lessons the focus is the moral dilemma faced by programmers writing software for the driverless car. Students will have encountered flow charts in other modules in the course, including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Algorithms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flow diagram, algorithm, moral dilemma</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3">
      <w:pPr>
        <w:spacing w:before="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5">
      <w:pPr>
        <w:spacing w:before="0" w:lineRule="auto"/>
        <w:rPr>
          <w:b w:val="1"/>
          <w:bCs w:val="1"/>
        </w:rPr>
      </w:pPr>
      <w:r w:rsidDel="00000000" w:rsidR="00000000" w:rsidRPr="00000000">
        <w:rPr>
          <w:b w:val="1"/>
          <w:bCs w:val="1"/>
          <w:rtl w:val="0"/>
        </w:rPr>
        <w:t xml:space="preserve">Remind students about the standard flow diagram symbols and how a decision is represented in a flow diagram (</w:t>
      </w:r>
      <w:r w:rsidDel="00000000" w:rsidR="00000000" w:rsidRPr="00000000">
        <w:rPr>
          <w:b w:val="1"/>
          <w:bCs w:val="1"/>
          <w:i w:val="1"/>
          <w:iCs w:val="1"/>
          <w:rtl w:val="0"/>
        </w:rPr>
        <w:t xml:space="preserve">Slides 3–4 and page 197</w:t>
      </w:r>
      <w:r w:rsidDel="00000000" w:rsidR="00000000" w:rsidRPr="00000000">
        <w:rPr>
          <w:b w:val="1"/>
          <w:bCs w:val="1"/>
          <w:rtl w:val="0"/>
        </w:rPr>
        <w:t xml:space="preserve">).</w:t>
      </w:r>
    </w:p>
    <w:p w:rsidR="00000000" w:rsidDel="00000000" w:rsidP="00000000" w:rsidRDefault="00000000" w:rsidRPr="00000000" w14:paraId="00000016">
      <w:pPr>
        <w:spacing w:before="0" w:lineRule="auto"/>
        <w:rPr/>
      </w:pPr>
      <w:r w:rsidDel="00000000" w:rsidR="00000000" w:rsidRPr="00000000">
        <w:rPr>
          <w:rtl w:val="0"/>
        </w:rPr>
        <w:t xml:space="preserve">If students have completed the </w:t>
      </w:r>
      <w:r w:rsidDel="00000000" w:rsidR="00000000" w:rsidRPr="00000000">
        <w:rPr>
          <w:i w:val="1"/>
          <w:iCs w:val="1"/>
          <w:rtl w:val="0"/>
        </w:rPr>
        <w:t xml:space="preserve">Algorithms</w:t>
      </w:r>
      <w:r w:rsidDel="00000000" w:rsidR="00000000" w:rsidRPr="00000000">
        <w:rPr>
          <w:rtl w:val="0"/>
        </w:rPr>
        <w:t xml:space="preserve"> module, they may remember these slides.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Ask students to complete Activity 6.1: Driverless cars algorithms (</w:t>
      </w:r>
      <w:r w:rsidDel="00000000" w:rsidR="00000000" w:rsidRPr="00000000">
        <w:rPr>
          <w:b w:val="1"/>
          <w:bCs w:val="1"/>
          <w:i w:val="1"/>
          <w:iCs w:val="1"/>
          <w:rtl w:val="0"/>
        </w:rPr>
        <w:t xml:space="preserve">Worksheet 6.1, slide 5</w:t>
      </w:r>
      <w:r w:rsidDel="00000000" w:rsidR="00000000" w:rsidRPr="00000000">
        <w:rPr>
          <w:b w:val="1"/>
          <w:bCs w:val="1"/>
          <w:rtl w:val="0"/>
        </w:rPr>
        <w:t xml:space="preserve">).</w:t>
      </w:r>
    </w:p>
    <w:p w:rsidR="00000000" w:rsidDel="00000000" w:rsidP="00000000" w:rsidRDefault="00000000" w:rsidRPr="00000000" w14:paraId="00000019">
      <w:pPr>
        <w:spacing w:before="0" w:lineRule="auto"/>
        <w:rPr/>
      </w:pPr>
      <w:r w:rsidDel="00000000" w:rsidR="00000000" w:rsidRPr="00000000">
        <w:rPr>
          <w:rtl w:val="0"/>
        </w:rPr>
        <w:t xml:space="preserve">Students who missed Lesson 5 should partner with another student and use their annotated Activity 5.1 to help them complete Activity 6.1.</w:t>
      </w:r>
    </w:p>
    <w:p w:rsidR="00000000" w:rsidDel="00000000" w:rsidP="00000000" w:rsidRDefault="00000000" w:rsidRPr="00000000" w14:paraId="0000001A">
      <w:pPr>
        <w:spacing w:before="0" w:lineRule="auto"/>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Pr>
        <mc:AlternateContent>
          <mc:Choice Requires="wpg">
            <w:drawing>
              <wp:inline distB="0" distT="0" distL="0" distR="0">
                <wp:extent cx="6018439" cy="2266342"/>
                <wp:effectExtent b="0" l="0" r="0" t="0"/>
                <wp:docPr id="1" name=""/>
                <a:graphic>
                  <a:graphicData uri="http://schemas.microsoft.com/office/word/2010/wordprocessingShape">
                    <wps:wsp>
                      <wps:cNvSpPr/>
                      <wps:cNvPr id="2" name="Shape 2"/>
                      <wps:spPr>
                        <a:xfrm>
                          <a:off x="2341543" y="2651592"/>
                          <a:ext cx="6008914" cy="2256817"/>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1daee4"/>
                                <w:sz w:val="24"/>
                                <w:vertAlign w:val="baseline"/>
                              </w:rPr>
                              <w:t xml:space="preserve">End-of-module assessment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1"/>
                                <w:i w:val="1"/>
                                <w:smallCaps w:val="0"/>
                                <w:strike w:val="0"/>
                                <w:color w:val="1daee4"/>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Less</w:t>
                            </w:r>
                            <w:r w:rsidDel="00000000" w:rsidR="00000000" w:rsidRPr="00000000">
                              <w:rPr>
                                <w:rFonts w:ascii="Arial" w:cs="Arial" w:eastAsia="Arial" w:hAnsi="Arial"/>
                                <w:b w:val="0"/>
                                <w:i w:val="0"/>
                                <w:smallCaps w:val="0"/>
                                <w:strike w:val="0"/>
                                <w:color w:val="000000"/>
                                <w:sz w:val="24"/>
                                <w:vertAlign w:val="baseline"/>
                              </w:rPr>
                              <w:t xml:space="preserve">ons 5 and 6 form the end-of-module assessment. Assess students against the following criteria.</w:t>
                            </w:r>
                          </w:p>
                          <w:p w:rsidR="00000000" w:rsidDel="00000000" w:rsidP="00000000" w:rsidRDefault="00000000" w:rsidRPr="00000000">
                            <w:pPr>
                              <w:spacing w:after="0" w:before="0" w:line="275.9999942779541"/>
                              <w:ind w:left="20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All students will be able to design two flow diagrams to program a driverless car to respond to two dilemmas. They will also be able to provide limited justifications of their algorithms.</w:t>
                            </w:r>
                          </w:p>
                          <w:p w:rsidR="00000000" w:rsidDel="00000000" w:rsidP="00000000" w:rsidRDefault="00000000" w:rsidRPr="00000000">
                            <w:pPr>
                              <w:spacing w:after="0" w:before="0" w:line="275.9999942779541"/>
                              <w:ind w:left="20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Most students will be able to provide detailed justifications of their algorithms.</w:t>
                            </w:r>
                          </w:p>
                          <w:p w:rsidR="00000000" w:rsidDel="00000000" w:rsidP="00000000" w:rsidRDefault="00000000" w:rsidRPr="00000000">
                            <w:pPr>
                              <w:spacing w:after="0" w:before="0" w:line="275.9999942779541"/>
                              <w:ind w:left="20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Some students will have attempted to design one flow diagram that will apply to both dilemmas.</w:t>
                            </w:r>
                          </w:p>
                        </w:txbxContent>
                      </wps:txbx>
                      <wps:bodyPr anchorCtr="0" anchor="t" bIns="45700" lIns="91425" spcFirstLastPara="1" rIns="91425" wrap="square" tIns="45700">
                        <a:noAutofit/>
                      </wps:bodyPr>
                    </wps:wsp>
                  </a:graphicData>
                </a:graphic>
              </wp:inline>
            </w:drawing>
          </mc:Choice>
          <mc:Fallback>
            <w:drawing>
              <wp:inline distB="0" distT="0" distL="0" distR="0">
                <wp:extent cx="6018439" cy="2266342"/>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018439" cy="22663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1D">
      <w:pPr>
        <w:spacing w:before="0" w:lineRule="auto"/>
        <w:rPr>
          <w:b w:val="1"/>
          <w:bCs w:val="1"/>
        </w:rPr>
      </w:pPr>
      <w:r w:rsidDel="00000000" w:rsidR="00000000" w:rsidRPr="00000000">
        <w:rPr>
          <w:b w:val="1"/>
          <w:bCs w:val="1"/>
          <w:rtl w:val="0"/>
        </w:rPr>
        <w:t xml:space="preserve">Ask students to share one thing they have found really interesting about this module.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1F">
      <w:pPr>
        <w:spacing w:before="0" w:lineRule="auto"/>
        <w:rPr/>
      </w:pPr>
      <w:r w:rsidDel="00000000" w:rsidR="00000000" w:rsidRPr="00000000">
        <w:rPr>
          <w:rtl w:val="0"/>
        </w:rPr>
        <w:t xml:space="preserve">This lesson is about the moral dilemma for a system that must make a decision in a life-or-death situation. Some students may find the activities relatively straightforward, but the activities are open-ended and students should be encouraged to add more detail and consider further implications. The activities in this lesson are intended for pair or group work so that students can discuss the situations.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21">
      <w:pPr>
        <w:spacing w:before="0" w:lineRule="auto"/>
        <w:rPr/>
      </w:pPr>
      <w:r w:rsidDel="00000000" w:rsidR="00000000" w:rsidRPr="00000000">
        <w:rPr>
          <w:rtl w:val="0"/>
        </w:rPr>
        <w:t xml:space="preserve">Some students may find the activities more challenging but should be encouraged to complete as many of the activities as they can working with another student with similar skills and abilities.</w:t>
      </w:r>
    </w:p>
    <w:sectPr>
      <w:headerReference r:id="rId7" w:type="default"/>
      <w:footerReference r:id="rId8" w:type="default"/>
      <w:pgSz w:h="16840" w:w="11900" w:orient="portrait"/>
      <w:pgMar w:bottom="1418" w:top="1701"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rFonts w:ascii="Calibri" w:cs="Calibri" w:eastAsia="Calibri" w:hAnsi="Calibri"/>
        <w:color w:val="212121"/>
        <w:highlight w:val="white"/>
        <w:rtl w:val="0"/>
      </w:rPr>
      <w:t xml:space="preserve">Progress in Computing: Key Stage 3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