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7  •  ICT  •  UNIT 1: INTERNET SAFETY, CYBER SECURITY AND ENCRYPTION</w:t>
            </w:r>
          </w:p>
          <w:p>
            <w:pPr>
              <w:spacing w:after="60"/>
            </w:pPr>
            <w:r>
              <w:rPr>
                <w:rFonts w:ascii="Calibri" w:cs="Calibri" w:eastAsia="Calibri" w:hAnsi="Calibri"/>
                <w:b/>
                <w:bCs/>
                <w:color w:val="FFFFFF"/>
                <w:sz w:val="34"/>
                <w:szCs w:val="34"/>
              </w:rPr>
              <w:t xml:space="preserve">Lesson 1 — Digital Footprint</w:t>
            </w:r>
          </w:p>
          <w:p>
            <w:r>
              <w:rPr>
                <w:rFonts w:ascii="Calibri" w:cs="Calibri" w:eastAsia="Calibri" w:hAnsi="Calibri"/>
                <w:color w:val="D6E0F5"/>
                <w:sz w:val="19"/>
                <w:szCs w:val="19"/>
              </w:rPr>
              <w:t xml:space="preserve">Full teaching script  •  50 minutes  •  BGA lesson layout  •  Lesson #1 deck, 12 slides</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does your online trail say about you — and who is reading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Know how employers use social media, describe the impact of posts, and use social media responsibly.</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Unit scenario</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Students are cyber security experts hired by the International Space Organisation. It runs through all six lessons — set it up properly today.</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7SW.02, 7SW.03, 7DW.02</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judged four astronaut applicants on their digital footprint and justified each decision in writing.</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Projector essential. Devices optional — see the box below.</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7.1.1 — the year’s baseline check</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the brief</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3–4. The ISO scenario and the ground rule</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17</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Platforms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5. Activity 1.1, paired</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17 – 26</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Alina and James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6–7. What went wrong, and what an employer concludes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26 – 32</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Dos, don’ts, top tips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8–10</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32 – 44</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12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Job applications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11. Worksheet 1.3, the main assessed task</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44 – 50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Three pieces of advice, then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main activity’s source material is not in the folder. Fix this before the lesson or Main 4 collapses.</w:t>
            </w:r>
          </w:p>
          <w:p>
            <w:pPr>
              <w:spacing w:after="60" w:before="0"/>
            </w:pPr>
            <w:r>
              <w:rPr>
                <w:rFonts w:ascii="Calibri" w:cs="Calibri" w:eastAsia="Calibri" w:hAnsi="Calibri"/>
                <w:sz w:val="20"/>
                <w:szCs w:val="20"/>
              </w:rPr>
              <w:t xml:space="preserve">Worksheet 1.3 asks students to look through the social media posts of four applicants — Ruby Cooke, Harry Iqbal, Naomi Osborne and LC Johnson. The worksheet gives their names, addresses and emails, but the actual posts live in a Hodder digital interactive that is not in your Drive folder. The same is true of Interactive 1.2 on slide 10.</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write the four profiles yourself — five or six posts each, half a page per applicant. Make one clearly problematic (angry or abusive comments), one an oversharer (address, school, live location, holiday dates), one where nothing at all can be found, and one clean and positive. That set covers every judgement the worksheet asks for, including the one students find hardest: nothing found means they go through.</w:t>
            </w:r>
          </w:p>
          <w:p>
            <w:pPr>
              <w:spacing w:after="60" w:before="0"/>
            </w:pPr>
            <w:r>
              <w:rPr>
                <w:rFonts w:ascii="Calibri" w:cs="Calibri" w:eastAsia="Calibri" w:hAnsi="Calibri"/>
                <w:b/>
                <w:bCs/>
                <w:sz w:val="20"/>
                <w:szCs w:val="20"/>
              </w:rPr>
              <w:t xml:space="preserve">2. The deck labels Activity 1.1 as the DO NOW. Your Do Now bank has a different one.</w:t>
            </w:r>
          </w:p>
          <w:p>
            <w:pPr>
              <w:spacing w:after="60" w:before="0"/>
            </w:pPr>
            <w:r>
              <w:rPr>
                <w:rFonts w:ascii="Calibri" w:cs="Calibri" w:eastAsia="Calibri" w:hAnsi="Calibri"/>
                <w:sz w:val="20"/>
                <w:szCs w:val="20"/>
              </w:rPr>
              <w:t xml:space="preserve">Slide 5 is marked DO NOW. But DN 7.1.1 is the first Do Now of the year and carries the Grade 6 baseline check — including the padlock question the whole unit turns on.</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run DN 7.1.1 as the written starter and demote Activity 1.1 to the first main activity. It works far better as a paired task than as silent independent work anyway. Edit the DO NOW label off slide 5 so the board and your instructions agree.</w:t>
            </w:r>
          </w:p>
          <w:p>
            <w:pPr>
              <w:spacing w:after="60" w:before="0"/>
            </w:pPr>
            <w:r>
              <w:rPr>
                <w:rFonts w:ascii="Calibri" w:cs="Calibri" w:eastAsia="Calibri" w:hAnsi="Calibri"/>
                <w:b/>
                <w:bCs/>
                <w:sz w:val="20"/>
                <w:szCs w:val="20"/>
              </w:rPr>
              <w:t xml:space="preserve">3. Do not run the lesson plan’s “search for a friend online” activity as written.</w:t>
            </w:r>
          </w:p>
          <w:p>
            <w:pPr>
              <w:spacing w:after="60" w:before="0"/>
            </w:pPr>
            <w:r>
              <w:rPr>
                <w:rFonts w:ascii="Calibri" w:cs="Calibri" w:eastAsia="Calibri" w:hAnsi="Calibri"/>
                <w:sz w:val="20"/>
                <w:szCs w:val="20"/>
              </w:rPr>
              <w:t xml:space="preserve">The Hodder plan suggests giving students five minutes to search for a friend and see what they can find. In a classroom that means a named student’s private information being displayed to their peers, with no consent and no way to take it back.</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make the point with a target who has consented — search for yourself, on the board, and talk through what comes up. It lands harder coming from their teacher and it harms nobody. If you want students searching, give them a public figure.</w:t>
            </w:r>
          </w:p>
          <w:p>
            <w:pPr>
              <w:spacing w:after="60" w:before="0"/>
            </w:pPr>
            <w:r>
              <w:rPr>
                <w:rFonts w:ascii="Calibri" w:cs="Calibri" w:eastAsia="Calibri" w:hAnsi="Calibri"/>
                <w:b/>
                <w:bCs/>
                <w:sz w:val="20"/>
                <w:szCs w:val="20"/>
              </w:rPr>
              <w:t xml:space="preserve">4. Two small things.</w:t>
            </w:r>
          </w:p>
          <w:p>
            <w:pPr>
              <w:spacing w:after="0" w:before="0"/>
            </w:pPr>
            <w:r>
              <w:rPr>
                <w:rFonts w:ascii="Calibri" w:cs="Calibri" w:eastAsia="Calibri" w:hAnsi="Calibri"/>
                <w:sz w:val="20"/>
                <w:szCs w:val="20"/>
              </w:rPr>
              <w:t xml:space="preserve">A Grade 6 file — “Key points for students (Google Sheets) – Computing components” — is misfiled in this Lesson 1 folder. Ignore it, or move it. And the deck’s examples are British; swap in platforms and figures your students actually recognise before the Alina and James slides.</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Write the four applicant profiles (see the box above). This is the one piece of preparation the lesson genuinely cannot run without.</w:t>
      </w:r>
    </w:p>
    <w:p>
      <w:pPr>
        <w:pStyle w:val="ListParagraph"/>
        <w:numPr>
          <w:ilvl w:val="0"/>
          <w:numId w:val="2"/>
        </w:numPr>
        <w:spacing w:after="50"/>
      </w:pPr>
      <w:r>
        <w:rPr>
          <w:rFonts w:ascii="Calibri" w:cs="Calibri" w:eastAsia="Calibri" w:hAnsi="Calibri"/>
          <w:sz w:val="20"/>
          <w:szCs w:val="20"/>
        </w:rPr>
        <w:t xml:space="preserve">Print Worksheet 1.1 and Worksheet 1.3 — one each.</w:t>
      </w:r>
    </w:p>
    <w:p>
      <w:pPr>
        <w:pStyle w:val="ListParagraph"/>
        <w:numPr>
          <w:ilvl w:val="0"/>
          <w:numId w:val="2"/>
        </w:numPr>
        <w:spacing w:after="50"/>
      </w:pPr>
      <w:r>
        <w:rPr>
          <w:rFonts w:ascii="Calibri" w:cs="Calibri" w:eastAsia="Calibri" w:hAnsi="Calibri"/>
          <w:sz w:val="20"/>
          <w:szCs w:val="20"/>
        </w:rPr>
        <w:t xml:space="preserve">DN 7.1.1 on the board before the door opens.</w:t>
      </w:r>
    </w:p>
    <w:p>
      <w:pPr>
        <w:pStyle w:val="ListParagraph"/>
        <w:numPr>
          <w:ilvl w:val="0"/>
          <w:numId w:val="2"/>
        </w:numPr>
        <w:spacing w:after="50"/>
      </w:pPr>
      <w:r>
        <w:rPr>
          <w:rFonts w:ascii="Calibri" w:cs="Calibri" w:eastAsia="Calibri" w:hAnsi="Calibri"/>
          <w:sz w:val="20"/>
          <w:szCs w:val="20"/>
        </w:rPr>
        <w:t xml:space="preserve">Decide your own searchable footprint is fit to show, if you are doing the live search.</w:t>
      </w:r>
    </w:p>
    <w:p>
      <w:pPr>
        <w:pStyle w:val="ListParagraph"/>
        <w:numPr>
          <w:ilvl w:val="0"/>
          <w:numId w:val="2"/>
        </w:numPr>
        <w:spacing w:after="50"/>
      </w:pPr>
      <w:r>
        <w:rPr>
          <w:rFonts w:ascii="Calibri" w:cs="Calibri" w:eastAsia="Calibri" w:hAnsi="Calibri"/>
          <w:sz w:val="20"/>
          <w:szCs w:val="20"/>
        </w:rPr>
        <w:t xml:space="preserve">Check slides 6 and 7 — the Alina and James posts — still read as plausible to this class.</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7.1.1 “What You Already Know”:</w:t>
      </w:r>
    </w:p>
    <w:p>
      <w:pPr>
        <w:pStyle w:val="ListParagraph"/>
        <w:numPr>
          <w:ilvl w:val="0"/>
          <w:numId w:val="2"/>
        </w:numPr>
        <w:spacing w:after="50"/>
      </w:pPr>
      <w:r>
        <w:rPr>
          <w:rFonts w:ascii="Calibri" w:cs="Calibri" w:eastAsia="Calibri" w:hAnsi="Calibri"/>
          <w:sz w:val="20"/>
          <w:szCs w:val="20"/>
        </w:rPr>
        <w:t xml:space="preserve">Name THREE pieces of information you should never post publicly.</w:t>
      </w:r>
    </w:p>
    <w:p>
      <w:pPr>
        <w:pStyle w:val="ListParagraph"/>
        <w:numPr>
          <w:ilvl w:val="0"/>
          <w:numId w:val="2"/>
        </w:numPr>
        <w:spacing w:after="50"/>
      </w:pPr>
      <w:r>
        <w:rPr>
          <w:rFonts w:ascii="Calibri" w:cs="Calibri" w:eastAsia="Calibri" w:hAnsi="Calibri"/>
          <w:sz w:val="20"/>
          <w:szCs w:val="20"/>
        </w:rPr>
        <w:t xml:space="preserve">What does the padlock symbol in a browser address bar actually mean?</w:t>
      </w:r>
    </w:p>
    <w:p>
      <w:pPr>
        <w:pStyle w:val="ListParagraph"/>
        <w:numPr>
          <w:ilvl w:val="0"/>
          <w:numId w:val="2"/>
        </w:numPr>
        <w:spacing w:after="50"/>
      </w:pPr>
      <w:r>
        <w:rPr>
          <w:rFonts w:ascii="Calibri" w:cs="Calibri" w:eastAsia="Calibri" w:hAnsi="Calibri"/>
          <w:sz w:val="20"/>
          <w:szCs w:val="20"/>
        </w:rPr>
        <w:t xml:space="preserve">An email from an address you do not recognise has an attachment called invoice.exe. What do you do, and why?</w:t>
      </w:r>
    </w:p>
    <w:p>
      <w:pPr>
        <w:pStyle w:val="ListParagraph"/>
        <w:numPr>
          <w:ilvl w:val="0"/>
          <w:numId w:val="2"/>
        </w:numPr>
        <w:spacing w:after="50"/>
      </w:pPr>
      <w:r>
        <w:rPr>
          <w:rFonts w:ascii="Calibri" w:cs="Calibri" w:eastAsia="Calibri" w:hAnsi="Calibri"/>
          <w:sz w:val="20"/>
          <w:szCs w:val="20"/>
        </w:rPr>
        <w:t xml:space="preserve">What is a digital footprint?</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“Five minutes, silent, in your book. First Do Now of the year, so I am finding out what you already know — not testing you.”</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Home address, full date of birth, phone number, passwords, school with timetable, live location.</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The connection between your device and the site is encrypted. It does NOT mean the site itself is honest.</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Do not open it. Report and delete. A .exe is a program, not a document — opening it runs code on your machine.</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The trail of data you leave behind through everything you do online.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2 is the one to hunt. Most of a class reads the padlock as a safety endorsement — as the site being trustworthy. Correct it out loud today, because it comes back in Lesson 5 and again in the end-of-unit assessment.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If the padlock discussion is going well, cap it — you get a second run at it later in the unit.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the ISO brief, and the ground rule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What does your online trail say about you — and who is reading it?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name social media platforms, say who uses them, and list the top tips for protecting my footprint.</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describe what an employer might conclude from someone’s posts, and why.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review an applicant’s digital footprint and justify a decision to hire or reject, using evidence.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Slides 3–4 — set the scenario properly. It runs for six lessons.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“For the next six lessons you do not work for me. You work for the International Space Organisation, as a cyber security expert.”</w:t>
            </w:r>
          </w:p>
          <w:p>
            <w:pPr>
              <w:spacing w:after="70"/>
            </w:pPr>
            <w:r>
              <w:rPr>
                <w:rFonts w:ascii="Calibri" w:cs="Calibri" w:eastAsia="Calibri" w:hAnsi="Calibri"/>
                <w:i/>
                <w:iCs/>
                <w:color w:val="1A1A1A"/>
                <w:sz w:val="20"/>
                <w:szCs w:val="20"/>
              </w:rPr>
              <w:t xml:space="preserve">“Your first job landed this morning. The ISO has the applications in for the next round of astronaut trainees, and before it decides who to interview, it wants you to look at what those applicants have been posting online.”</w:t>
            </w:r>
          </w:p>
          <w:p>
            <w:pPr>
              <w:spacing w:after="70"/>
            </w:pPr>
            <w:r>
              <w:rPr>
                <w:rFonts w:ascii="Calibri" w:cs="Calibri" w:eastAsia="Calibri" w:hAnsi="Calibri"/>
                <w:i/>
                <w:iCs/>
                <w:color w:val="1A1A1A"/>
                <w:sz w:val="20"/>
                <w:szCs w:val="20"/>
              </w:rPr>
              <w:t xml:space="preserve">“You are the one who decides who goes through.”</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Then the ground rule, before anyone opens their mouth about social media: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rule for the whole lesson. We talk about posts, not about people. No names of anyone at this school, and nothing about anyone in this room.”</w:t>
            </w:r>
          </w:p>
          <w:p>
            <w:pPr>
              <w:spacing w:after="70"/>
            </w:pPr>
            <w:r>
              <w:rPr>
                <w:rFonts w:ascii="Calibri" w:cs="Calibri" w:eastAsia="Calibri" w:hAnsi="Calibri"/>
                <w:i/>
                <w:iCs/>
                <w:color w:val="1A1A1A"/>
                <w:sz w:val="20"/>
                <w:szCs w:val="20"/>
              </w:rPr>
              <w:t xml:space="preserve">“If you want to describe something you have seen, describe the post. Not who made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The ground rule is worth its thirty seconds — this topic invites students to volunteer each other.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Platforms and their audiences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5. Worksheet 1.1 — name as many platforms as you can, and for each, who uses it and how.</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The first row is done for them: Facebook, mostly used by adults to keep in touch and share pictures.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“Four minutes, in pairs. Not just the name — who is actually on it, and what they use it for.”</w:t>
            </w:r>
          </w:p>
          <w:p>
            <w:pPr>
              <w:spacing w:after="70"/>
            </w:pPr>
            <w:r>
              <w:rPr>
                <w:rFonts w:ascii="Calibri" w:cs="Calibri" w:eastAsia="Calibri" w:hAnsi="Calibri"/>
                <w:i/>
                <w:iCs/>
                <w:color w:val="1A1A1A"/>
                <w:sz w:val="20"/>
                <w:szCs w:val="20"/>
              </w:rPr>
              <w:t xml:space="preserve">“If your parents are on it and you are not, that tells you something. Write that down.”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Take feedback for two minutes. The point to land, whatever platforms they name: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“Different platforms, different audiences — and the audience is the thing that matters. A post that is fine among your friends is a different post entirely when the person reading it is deciding whether to employ you.”</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"I don't use social media, so none of this applies to me." A digital footprint is much wider than posts: photos other people tag, gaming accounts, comments, school and club websites, anything ever typed into a search box. Make that point the moment it comes up — it is the most common way students opt out of this topic.</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17 minutes. The platform list can run forever — cut it at four minutes even if hands are still up.</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17 – 26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What did Alina and James do wrong?</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6–7. One post each. Two questions per slide, and the second is the important one.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For each post, ask in this order:</w:t>
      </w:r>
    </w:p>
    <w:p>
      <w:pPr>
        <w:pStyle w:val="ListParagraph"/>
        <w:numPr>
          <w:ilvl w:val="0"/>
          <w:numId w:val="3"/>
        </w:numPr>
        <w:spacing w:after="50"/>
      </w:pPr>
      <w:r>
        <w:rPr>
          <w:rFonts w:ascii="Calibri" w:cs="Calibri" w:eastAsia="Calibri" w:hAnsi="Calibri"/>
          <w:sz w:val="20"/>
          <w:szCs w:val="20"/>
        </w:rPr>
        <w:t xml:space="preserve">What did they do wrong?</w:t>
      </w:r>
    </w:p>
    <w:p>
      <w:pPr>
        <w:pStyle w:val="ListParagraph"/>
        <w:numPr>
          <w:ilvl w:val="0"/>
          <w:numId w:val="3"/>
        </w:numPr>
        <w:spacing w:after="50"/>
      </w:pPr>
      <w:r>
        <w:rPr>
          <w:rFonts w:ascii="Calibri" w:cs="Calibri" w:eastAsia="Calibri" w:hAnsi="Calibri"/>
          <w:sz w:val="20"/>
          <w:szCs w:val="20"/>
        </w:rPr>
        <w:t xml:space="preserve">What might a future employer conclude from that?</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 first question is easy and you will all get it. The second one is the job.”</w:t>
            </w:r>
          </w:p>
          <w:p>
            <w:pPr>
              <w:spacing w:after="70"/>
            </w:pPr>
            <w:r>
              <w:rPr>
                <w:rFonts w:ascii="Calibri" w:cs="Calibri" w:eastAsia="Calibri" w:hAnsi="Calibri"/>
                <w:i/>
                <w:iCs/>
                <w:color w:val="1A1A1A"/>
                <w:sz w:val="20"/>
                <w:szCs w:val="20"/>
              </w:rPr>
              <w:t xml:space="preserve">“An employer is not reading this post the way a friend reads it. They have never met this person. Everything they know about them is on the screen, and they are looking for a reason to move on to the next application.”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Push past the obvious. What you want them to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Students usually say</w:t>
            </w:r>
          </w:p>
        </w:tc>
        <w:tc>
          <w:tcPr>
            <w:tcW w:type="dxa" w:w="6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Push towards</w:t>
            </w:r>
          </w:p>
        </w:tc>
      </w:tr>
      <w:tr>
        <w:tc>
          <w:tcPr>
            <w:tcW w:type="dxa" w:w="2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“It’s rude.”</w:t>
            </w:r>
          </w:p>
        </w:tc>
        <w:tc>
          <w:tcPr>
            <w:tcW w:type="dxa" w:w="6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So what would an employer conclude about how this person deals with colleagues or customers?</w:t>
            </w:r>
          </w:p>
        </w:tc>
      </w:tr>
      <w:tr>
        <w:tc>
          <w:tcPr>
            <w:tcW w:type="dxa" w:w="2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“They shouldn’t have posted it.”</w:t>
            </w:r>
          </w:p>
        </w:tc>
        <w:tc>
          <w:tcPr>
            <w:tcW w:type="dxa" w:w="6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It was posted years ago and they have changed. Does that help them? Who is going to know?</w:t>
            </w:r>
          </w:p>
        </w:tc>
      </w:tr>
      <w:tr>
        <w:tc>
          <w:tcPr>
            <w:tcW w:type="dxa" w:w="2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“It’s private.”</w:t>
            </w:r>
          </w:p>
        </w:tc>
        <w:tc>
          <w:tcPr>
            <w:tcW w:type="dxa" w:w="6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Who screenshots things? Who can share a private post onwards? What can’t be taken back?</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line from slide 8 that is worth saying slowly: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“And remember the human. Someone who posted something angry might be perfectly decent most of the time, and just having a bad day.”</w:t>
            </w:r>
          </w:p>
          <w:p>
            <w:pPr>
              <w:spacing w:after="70"/>
            </w:pPr>
            <w:r>
              <w:rPr>
                <w:rFonts w:ascii="Calibri" w:cs="Calibri" w:eastAsia="Calibri" w:hAnsi="Calibri"/>
                <w:i/>
                <w:iCs/>
                <w:color w:val="1A1A1A"/>
                <w:sz w:val="20"/>
                <w:szCs w:val="20"/>
              </w:rPr>
              <w:t xml:space="preserve">“Which cuts both ways. It is a reason to be generous when you are reading. It is also a reason to take a breath before you post — because whoever reads yours in five years will not know what kind of day you were having.”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26 minutes. This is the phase most likely to overrun, and it is worth protecting — but the worksheet needs its 12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26 – 32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Dos, don’ts and the five top tips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8–10. Give the five tips, then Activity 1.2.</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1</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Use privacy settings, so only people you allow can see your posts.</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2</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Keep some things to yourself — address, school, phone number, and your real name if you can.</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3</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Use a picture of anything except yourself as your avatar.</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4</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Block and report people who are mean, unpleasant or nasty.</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5</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Ask permission before you post photographs of other people.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Tip 5 is the one to dwell on, because it is the one they break: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“Number five is about somebody else’s footprint, not yours. Every photo you post of a friend goes into their trail, and they never got asked.”</w:t>
            </w:r>
          </w:p>
          <w:p>
            <w:pPr>
              <w:spacing w:after="70"/>
            </w:pPr>
            <w:r>
              <w:rPr>
                <w:rFonts w:ascii="Calibri" w:cs="Calibri" w:eastAsia="Calibri" w:hAnsi="Calibri"/>
                <w:i/>
                <w:iCs/>
                <w:color w:val="1A1A1A"/>
                <w:sz w:val="20"/>
                <w:szCs w:val="20"/>
              </w:rPr>
              <w:t xml:space="preserve">“That is why it is on the list. You are not only protecting yourself.”</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Tip 1 gets read as a solution. Privacy settings limit who sees a post; they do not stop a screenshot, and they change when the platform changes them. Say "private is weaker than it sounds" and leave it there — it is a Do Now question next lesson.</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Activity 1.2 (slide 10) is a Hodder interactive you may not have. </w:t>
      </w:r>
      <w:r>
        <w:rPr>
          <w:rFonts w:ascii="Calibri" w:cs="Calibri" w:eastAsia="Calibri" w:hAnsi="Calibri"/>
          <w:sz w:val="20"/>
          <w:szCs w:val="20"/>
        </w:rPr>
        <w:t xml:space="preserve">If it will not open, run it in thirty seconds instead: pairs write one DO and one DON’T of their own, and you take four aloud.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32 minutes, with Worksheet 1.3 and the applicant profiles already on desks.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32 – 44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Job applications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12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11. Worksheet 1.3, with the four applicant profiles. This is the assessed task.</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“Four applicants. For each one: what did you find, do they go through to interview or not, and why.”</w:t>
            </w:r>
          </w:p>
          <w:p>
            <w:pPr>
              <w:spacing w:after="70"/>
            </w:pPr>
            <w:r>
              <w:rPr>
                <w:rFonts w:ascii="Calibri" w:cs="Calibri" w:eastAsia="Calibri" w:hAnsi="Calibri"/>
                <w:i/>
                <w:iCs/>
                <w:color w:val="1A1A1A"/>
                <w:sz w:val="20"/>
                <w:szCs w:val="20"/>
              </w:rPr>
              <w:t xml:space="preserve">“The decision is not what I am marking. The reason is. “I just didn’t like them” gets you nothing.”</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The judgement students find hardest — say it before they start: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you cannot find anything about an applicant, or you find nothing worrying, they go through. Read that line on the sheet again.”</w:t>
            </w:r>
          </w:p>
          <w:p>
            <w:pPr>
              <w:spacing w:after="70"/>
            </w:pPr>
            <w:r>
              <w:rPr>
                <w:rFonts w:ascii="Calibri" w:cs="Calibri" w:eastAsia="Calibri" w:hAnsi="Calibri"/>
                <w:i/>
                <w:iCs/>
                <w:color w:val="1A1A1A"/>
                <w:sz w:val="20"/>
                <w:szCs w:val="20"/>
              </w:rPr>
              <w:t xml:space="preserve">“Finding nothing is not suspicious. It is not evidence of anything at all.”</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applicants, with sentence starters: “I would reject / accept ___ because they posted ___, which suggests ___.” Two decisions with evidence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applicants with a written reason for each.</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then: which post would you find hardest to judge fairly, and why? Push towards context, age of the post, and whether people change.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Read reasons, not decisions. A student who rejected the right applicants with no evidence has not met the objective.</w:t>
      </w:r>
    </w:p>
    <w:p>
      <w:pPr>
        <w:pStyle w:val="ListParagraph"/>
        <w:numPr>
          <w:ilvl w:val="0"/>
          <w:numId w:val="2"/>
        </w:numPr>
        <w:spacing w:after="50"/>
      </w:pPr>
      <w:r>
        <w:rPr>
          <w:rFonts w:ascii="Calibri" w:cs="Calibri" w:eastAsia="Calibri" w:hAnsi="Calibri"/>
          <w:sz w:val="20"/>
          <w:szCs w:val="20"/>
        </w:rPr>
        <w:t xml:space="preserve">Collect one strong reason and one weak one to contrast in the plenary — do not name who wrote them.</w:t>
      </w:r>
    </w:p>
    <w:p>
      <w:pPr>
        <w:pStyle w:val="ListParagraph"/>
        <w:numPr>
          <w:ilvl w:val="0"/>
          <w:numId w:val="2"/>
        </w:numPr>
        <w:spacing w:after="50"/>
      </w:pPr>
      <w:r>
        <w:rPr>
          <w:rFonts w:ascii="Calibri" w:cs="Calibri" w:eastAsia="Calibri" w:hAnsi="Calibri"/>
          <w:sz w:val="20"/>
          <w:szCs w:val="20"/>
        </w:rPr>
        <w:t xml:space="preserve">Watch for anyone rejecting the applicant with nothing found. That is the misconception to name aloud at the end.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judge on the person rather than the post — the applicant's name, their photo, where they live. Stop it immediately and ask which post they are pointing at. It is exactly the bias a real employer is supposed to avoid, and naming it here is the lesson's best moment.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44 minutes. If they are still writing, stop anyway — the plenary is where the objective gets pulled together.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44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Pairs, two minutes (this is the lesson plan’s own plenary):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“In your pairs: three pieces of advice you would give to someone younger than you about using social media. Not the tips off my slide — yours, in your words.”</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Take one from four different pairs. Write them on the board — they are worth keeping for the Lesson 6 recap.</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contrast the two reasons you collected (1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“Here are two reasons from your sheets. One of them points at something the applicant actually did. The other points at how somebody felt about them.”</w:t>
            </w:r>
          </w:p>
          <w:p>
            <w:pPr>
              <w:spacing w:after="70"/>
            </w:pPr>
            <w:r>
              <w:rPr>
                <w:rFonts w:ascii="Calibri" w:cs="Calibri" w:eastAsia="Calibri" w:hAnsi="Calibri"/>
                <w:i/>
                <w:iCs/>
                <w:color w:val="1A1A1A"/>
                <w:sz w:val="20"/>
                <w:szCs w:val="20"/>
              </w:rPr>
              <w:t xml:space="preserve">“Only one of those would survive being questioned. That is the difference between a judgement and an opinion.”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(2 min) — cold call three, then dismiss:</w:t>
      </w:r>
    </w:p>
    <w:p>
      <w:pPr>
        <w:pStyle w:val="ListParagraph"/>
        <w:numPr>
          <w:ilvl w:val="0"/>
          <w:numId w:val="2"/>
        </w:numPr>
        <w:spacing w:after="50"/>
      </w:pPr>
      <w:r>
        <w:rPr>
          <w:rFonts w:ascii="Calibri" w:cs="Calibri" w:eastAsia="Calibri" w:hAnsi="Calibri"/>
          <w:sz w:val="20"/>
          <w:szCs w:val="20"/>
        </w:rPr>
        <w:t xml:space="preserve">Name one thing that goes into your digital footprint that you did not choose to put there.</w:t>
      </w:r>
    </w:p>
    <w:p>
      <w:pPr>
        <w:pStyle w:val="ListParagraph"/>
        <w:numPr>
          <w:ilvl w:val="0"/>
          <w:numId w:val="2"/>
        </w:numPr>
        <w:spacing w:after="50"/>
      </w:pPr>
      <w:r>
        <w:rPr>
          <w:rFonts w:ascii="Calibri" w:cs="Calibri" w:eastAsia="Calibri" w:hAnsi="Calibri"/>
          <w:sz w:val="20"/>
          <w:szCs w:val="20"/>
        </w:rPr>
        <w:t xml:space="preserve">Why does an employer look at social media before interviewing someone?</w:t>
      </w:r>
    </w:p>
    <w:p>
      <w:pPr>
        <w:pStyle w:val="ListParagraph"/>
        <w:numPr>
          <w:ilvl w:val="0"/>
          <w:numId w:val="2"/>
        </w:numPr>
        <w:spacing w:after="50"/>
      </w:pPr>
      <w:r>
        <w:rPr>
          <w:rFonts w:ascii="Calibri" w:cs="Calibri" w:eastAsia="Calibri" w:hAnsi="Calibri"/>
          <w:sz w:val="20"/>
          <w:szCs w:val="20"/>
        </w:rPr>
        <w:t xml:space="preserve">You find nothing at all about an applicant. What does that tell you?</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Quiz 1 (slide 12) does not fit. </w:t>
      </w:r>
      <w:r>
        <w:rPr>
          <w:rFonts w:ascii="Calibri" w:cs="Calibri" w:eastAsia="Calibri" w:hAnsi="Calibri"/>
          <w:sz w:val="20"/>
          <w:szCs w:val="20"/>
        </w:rPr>
        <w:t xml:space="preserve">Run it at the start of Lesson 2 as a retrieval starter instead — it works better with a few days between the teaching and the test.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in. Chairs under. Behind your desks,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Activity 1.2 on slide 10. The five tips are on slide 9 and the worksheet applies them anyway.</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platform feedback in Main 1 — take two answers rather than eight.</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Worksheet 1.3, or the “nothing found means they go through” instruction before it. That worksheet is the only place the Depth objective is assessed.</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Quiz 1. It becomes the Lesson 2 retrieval starter.</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Which types of information in a post reflect worst on the poster — text, photographs, images, or location data? Discuss with a partner and rank them.</w:t>
      </w:r>
    </w:p>
    <w:p>
      <w:pPr>
        <w:pStyle w:val="ListParagraph"/>
        <w:numPr>
          <w:ilvl w:val="0"/>
          <w:numId w:val="2"/>
        </w:numPr>
        <w:spacing w:after="50"/>
      </w:pPr>
      <w:r>
        <w:rPr>
          <w:rFonts w:ascii="Calibri" w:cs="Calibri" w:eastAsia="Calibri" w:hAnsi="Calibri"/>
          <w:sz w:val="20"/>
          <w:szCs w:val="20"/>
        </w:rPr>
        <w:t xml:space="preserve">Rewrite one of the rejected applicants’ posts so it says the same thing without costing them the job.</w:t>
      </w:r>
    </w:p>
    <w:p>
      <w:pPr>
        <w:pStyle w:val="ListParagraph"/>
        <w:numPr>
          <w:ilvl w:val="0"/>
          <w:numId w:val="2"/>
        </w:numPr>
        <w:spacing w:after="50"/>
      </w:pPr>
      <w:r>
        <w:rPr>
          <w:rFonts w:ascii="Calibri" w:cs="Calibri" w:eastAsia="Calibri" w:hAnsi="Calibri"/>
          <w:sz w:val="20"/>
          <w:szCs w:val="20"/>
        </w:rPr>
        <w:t xml:space="preserve">What could be worked out about you from the last photo you posted? Written for themselves, not handed in.</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Audit: </w:t>
      </w:r>
      <w:r>
        <w:rPr>
          <w:rFonts w:ascii="Calibri" w:cs="Calibri" w:eastAsia="Calibri" w:hAnsi="Calibri"/>
          <w:sz w:val="20"/>
          <w:szCs w:val="20"/>
        </w:rPr>
        <w:t xml:space="preserve">Check the privacy settings on one account you use. Write down what you changed, or why you left it as it was.</w:t>
      </w:r>
    </w:p>
    <w:p>
      <w:pPr>
        <w:pStyle w:val="ListParagraph"/>
        <w:numPr>
          <w:ilvl w:val="0"/>
          <w:numId w:val="2"/>
        </w:numPr>
        <w:spacing w:after="50"/>
      </w:pPr>
      <w:r>
        <w:rPr>
          <w:rFonts w:ascii="Calibri" w:cs="Calibri" w:eastAsia="Calibri" w:hAnsi="Calibri"/>
          <w:b/>
          <w:bCs/>
          <w:sz w:val="20"/>
          <w:szCs w:val="20"/>
        </w:rPr>
        <w:t xml:space="preserve">Watch: </w:t>
      </w:r>
      <w:r>
        <w:rPr>
          <w:rFonts w:ascii="Calibri" w:cs="Calibri" w:eastAsia="Calibri" w:hAnsi="Calibri"/>
          <w:sz w:val="20"/>
          <w:szCs w:val="20"/>
        </w:rPr>
        <w:t xml:space="preserve">The “managing your digital footprint” video linked in the unit planner, then one sentence on what surprised you.</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digital footprint  •  social media profile  •  privacy settings  •  avatar  •  audience  •  public and private accounts  •  location data  •  screenshot  •  block and report</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#1 deck – Internet safety, cyber security and encryption</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 › Lesson #1 – Digital footprint</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1.1 – Social media platforms</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1.3 – Job applications</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Applicant profiles for Worksheet 1.3</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NOT IN DRIVE — you write these (see the red box)</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Internet safety, cyber security and encryption.xlsx</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About the module / Key points for students</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7.1.1 (this lesson’s Do Now)</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Do nows › Grade_7_ICT_Do_Nows</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“Cybersecurity and Encryption Review”</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end-of-unit, not for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7  |  Unit 1 Internet Safety, Cyber Security and Encryption  |  Lesson 1 — Digital Footprint</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2026-08-30T11:01:27.594Z</dcterms:created>
  <dcterms:modified xsi:type="dcterms:W3CDTF">2026-08-30T11:01:27.608Z</dcterms:modified>
</cp:coreProperties>
</file>

<file path=docProps/custom.xml><?xml version="1.0" encoding="utf-8"?>
<Properties xmlns="http://schemas.openxmlformats.org/officeDocument/2006/custom-properties" xmlns:vt="http://schemas.openxmlformats.org/officeDocument/2006/docPropsVTypes"/>
</file>