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b w:val="1"/>
          <w:bCs w:val="1"/>
          <w:color w:val="0075be"/>
        </w:rPr>
      </w:pPr>
      <w:r w:rsidDel="00000000" w:rsidR="00000000" w:rsidRPr="00000000">
        <w:rPr>
          <w:b w:val="1"/>
          <w:bCs w:val="1"/>
          <w:color w:val="0075be"/>
          <w:sz w:val="36"/>
          <w:szCs w:val="36"/>
          <w:rtl w:val="0"/>
        </w:rPr>
        <w:t xml:space="preserve">Activity 2.2: Planning and creating a leaflet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 a leaflet to publicise the cause or event your teacher tells you about.</w:t>
      </w:r>
    </w:p>
    <w:p w:rsidR="00000000" w:rsidDel="00000000" w:rsidP="00000000" w:rsidRDefault="00000000" w:rsidRPr="00000000" w14:paraId="00000003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To make the leaflet as cheap as possible to print, your A4 document must contain two identical copies of the leaflet side by side, like this: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965076" cy="2800728"/>
            <wp:effectExtent b="0" l="0" r="0" t="0"/>
            <wp:docPr descr="A picture containing graphical user interface&#10;&#10;Description automatically generated" id="1" name="image2.jpg"/>
            <a:graphic>
              <a:graphicData uri="http://schemas.openxmlformats.org/drawingml/2006/picture">
                <pic:pic>
                  <pic:nvPicPr>
                    <pic:cNvPr descr="A picture containing graphical user interface&#10;&#10;Description automatically generated"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5076" cy="28007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Here are some tips to help you create your leaflet.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 the page to landscape and make the margins narrow to make room for two leaflets on one A4 page.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main heading should be large and clear, to grab the attention of your intended audience.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subheadings to break up large chunks of text.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Images should add meaning to the text, and you could consider including image captions.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all the available space, but don't be afraid of empty white space.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Limit the number of fonts, font sizes and font colours; too many can be confusing.</w:t>
      </w:r>
    </w:p>
    <w:p w:rsidR="00000000" w:rsidDel="00000000" w:rsidP="00000000" w:rsidRDefault="00000000" w:rsidRPr="00000000" w14:paraId="0000000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Remember to save your work regularly.</w:t>
      </w:r>
    </w:p>
    <w:p w:rsidR="00000000" w:rsidDel="00000000" w:rsidP="00000000" w:rsidRDefault="00000000" w:rsidRPr="00000000" w14:paraId="0000000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Use the grid below to complete stage 1 of the design cycle: understand the task (ask yourself questions about the purpose of your document and its intended audience).</w:t>
      </w:r>
    </w:p>
    <w:p w:rsidR="00000000" w:rsidDel="00000000" w:rsidP="00000000" w:rsidRDefault="00000000" w:rsidRPr="00000000" w14:paraId="00000016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8"/>
        <w:gridCol w:w="2977"/>
        <w:gridCol w:w="5244"/>
        <w:tblGridChange w:id="0">
          <w:tblGrid>
            <w:gridCol w:w="1418"/>
            <w:gridCol w:w="2977"/>
            <w:gridCol w:w="52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Purpose</w:t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What does the leaflet need to do? What information does it need to give to the person reading it? What should the person reading it do?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4472c4" w:val="clear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Audience</w:t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Who is the leaflet for? </w:t>
            </w:r>
            <w:r w:rsidDel="00000000" w:rsidR="00000000" w:rsidRPr="00000000">
              <w:rPr>
                <w:rtl w:val="0"/>
              </w:rPr>
              <w:t xml:space="preserve">What will the intended audience find attractive and enticing?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</w:tcPr>
          <w:p w:rsidR="00000000" w:rsidDel="00000000" w:rsidP="00000000" w:rsidRDefault="00000000" w:rsidRPr="00000000" w14:paraId="0000002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Then move on to stage 2 of the design cycle: develop your ideas and plan a solution.</w:t>
      </w:r>
    </w:p>
    <w:p w:rsidR="00000000" w:rsidDel="00000000" w:rsidP="00000000" w:rsidRDefault="00000000" w:rsidRPr="00000000" w14:paraId="0000002A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And, when you have planned your leaflet, move on to stage 3 of the design cycle: follow your plan to create your solution.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jc w:val="right"/>
      <w:rPr/>
    </w:pPr>
    <w:r w:rsidDel="00000000" w:rsidR="00000000" w:rsidRPr="00000000">
      <w:rPr>
        <w:rFonts w:ascii="Calibri" w:cs="Calibri" w:eastAsia="Calibri" w:hAnsi="Calibri"/>
        <w:color w:val="212121"/>
        <w:sz w:val="22"/>
        <w:szCs w:val="22"/>
        <w:highlight w:val="white"/>
        <w:rtl w:val="0"/>
      </w:rPr>
      <w:t xml:space="preserve">Progress in Computing © Hodder &amp; Stoughton Limited 2021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pStyle w:val="Title"/>
      <w:ind w:firstLine="284"/>
      <w:rPr/>
    </w:pPr>
    <w:r w:rsidDel="00000000" w:rsidR="00000000" w:rsidRPr="00000000">
      <w:rPr>
        <w:rFonts w:ascii="Calibri" w:cs="Calibri" w:eastAsia="Calibri" w:hAnsi="Calibri"/>
        <w:color w:val="000000"/>
        <w:sz w:val="24"/>
        <w:szCs w:val="24"/>
        <w:rtl w:val="0"/>
      </w:rPr>
      <w:t xml:space="preserve"> </w:t>
    </w:r>
    <w:r w:rsidDel="00000000" w:rsidR="00000000" w:rsidRPr="00000000">
      <w:rPr>
        <w:rtl w:val="0"/>
      </w:rPr>
      <w:t xml:space="preserve">Computing: past, present and future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8113596" cy="1080014"/>
          <wp:effectExtent b="0" l="0" r="0" t="0"/>
          <wp:wrapNone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13596" cy="108001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0075be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