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4.2: Social media sign up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program that tells the user whether or not they are old enough to use social media.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need to be 13 to use social media. If the user is 13 or older, the cat should say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old enough to sign up to social media.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user if not 13 or older, the cat should say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not old enough to sign up to social media.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2524125" cy="1724025"/>
            <wp:effectExtent b="0" l="0" r="0" t="0"/>
            <wp:docPr descr="Graphical user interface, text, application, chat or text message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2562225" cy="1704975"/>
            <wp:effectExtent b="0" l="0" r="0" t="0"/>
            <wp:docPr descr="Graphical user interface, text, application, chat or text message&#10;&#10;Description automatically generated" id="4" name="image3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output when the user enters </w:t>
        <w:tab/>
        <w:t xml:space="preserve">        This is the output when the user enters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  <w:tab/>
        <w:tab/>
        <w:tab/>
        <w:t xml:space="preserve">   12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Here is an example of how you can use selection in Scratch to do one thing if the condition is True and another if it is False: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393094" cy="222905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3094" cy="2229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Don’t forget to screenshot your blocks and paste the screenshot into your evidence document.</w:t>
      </w:r>
    </w:p>
    <w:sectPr>
      <w:headerReference r:id="rId9" w:type="default"/>
      <w:footerReference r:id="rId10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