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Kastle Systems ERP Modernization Proposal</w:t>
      </w:r>
    </w:p>
    <w:p>
      <w:pPr>
        <w:spacing w:after="360"/>
      </w:pPr>
      <w:r>
        <w:t>Prepared for: Kastle Systems</w:t>
      </w:r>
    </w:p>
    <w:p>
      <w:pPr>
        <w:spacing w:after="360"/>
      </w:pPr>
      <w:r>
        <w:t>Submitted by: [Vendor Company Name]</w:t>
      </w:r>
    </w:p>
    <w:p>
      <w:pPr/>
      <w:r>
        <w:t>Confidential: External use or disclosure of any information contained in this document without written permission is prohibited.</w:t>
      </w:r>
    </w:p>
    <w:p>
      <w:r>
        <w:br w:type="page"/>
      </w:r>
    </w:p>
    <w:p>
      <w:pPr/>
      <w:r>
        <w:t>February 08, 2026</w:t>
      </w:r>
    </w:p>
    <w:p>
      <w:pPr/>
      <w:r>
        <w:t>Letter of Transmittal to Kastle Systems</w:t>
      </w:r>
    </w:p>
    <w:p>
      <w:pPr/>
      <w:r>
        <w:t>Re: Kastle Systems ERP Modernization RFP</w:t>
      </w:r>
    </w:p>
    <w:p>
      <w:pPr/>
      <w:r>
        <w:t>To whom it may concern, this response to the Kastle Systems RFP is hereby submitted by [Vendor Company Name]:</w:t>
      </w:r>
    </w:p>
    <w:p>
      <w:pPr/>
      <w:r>
        <w:t>Submitted by:</w:t>
      </w:r>
    </w:p>
    <w:p>
      <w:pPr/>
      <w:r>
        <w:t>[Vendor Company Name]</w:t>
      </w:r>
    </w:p>
    <w:p>
      <w:pPr/>
      <w:r>
        <w:t>6100 West Plano Parkway</w:t>
      </w:r>
    </w:p>
    <w:p>
      <w:pPr/>
      <w:r>
        <w:t>Suite 1800, Plano, Texas 75093</w:t>
      </w:r>
    </w:p>
    <w:p>
      <w:pPr/>
      <w:r>
        <w:t>Attn: Legal: [Authorized Officer Name]</w:t>
      </w:r>
    </w:p>
    <w:p>
      <w:pPr/>
      <w:r>
        <w:t>Vendor Contact Information:</w:t>
      </w:r>
    </w:p>
    <w:p>
      <w:pPr/>
      <w:r>
        <w:t>SAM/CSM Name, Position, Phone No., Email</w:t>
      </w:r>
    </w:p>
    <w:p>
      <w:pPr/>
      <w:r>
        <w:t>DSE/DCE Name, Position, Phone No., Email</w:t>
      </w:r>
    </w:p>
    <w:p>
      <w:pPr/>
      <w:r>
        <w:t>Kastle Contact Information:</w:t>
      </w:r>
    </w:p>
    <w:p>
      <w:pPr/>
      <w:r>
        <w:t>Name:</w:t>
      </w:r>
    </w:p>
    <w:p>
      <w:pPr/>
      <w:r>
        <w:t>Title:</w:t>
      </w:r>
    </w:p>
    <w:p>
      <w:pPr/>
      <w:r>
        <w:t>Phone:</w:t>
      </w:r>
    </w:p>
    <w:p>
      <w:pPr/>
      <w:r>
        <w:t>Email:</w:t>
      </w:r>
    </w:p>
    <w:p>
      <w:r>
        <w:br w:type="page"/>
      </w:r>
    </w:p>
    <w:p>
      <w:pPr>
        <w:pStyle w:val="Heading1"/>
      </w:pPr>
      <w:r>
        <w:t>TABLE OF CONTENTS</w:t>
      </w:r>
    </w:p>
    <w:p>
      <w:pPr/>
      <w:r>
        <w:t>1 Executive Summary</w:t>
      </w:r>
    </w:p>
    <w:p>
      <w:pPr/>
      <w:r>
        <w:t>2 Company Overview</w:t>
      </w:r>
    </w:p>
    <w:p>
      <w:pPr/>
      <w:r>
        <w:t>3 Service Capabilities</w:t>
      </w:r>
    </w:p>
    <w:p>
      <w:pPr/>
      <w:r>
        <w:t>4 Implementation Plan and Details</w:t>
      </w:r>
    </w:p>
    <w:p>
      <w:pPr/>
      <w:r>
        <w:t>5 Proposed Timeline</w:t>
      </w:r>
    </w:p>
    <w:p>
      <w:pPr/>
      <w:r>
        <w:t>6 Project Management and Governance</w:t>
      </w:r>
    </w:p>
    <w:p>
      <w:pPr/>
      <w:r>
        <w:t>7 Security, Privacy, and Compliance</w:t>
      </w:r>
    </w:p>
    <w:p>
      <w:pPr/>
      <w:r>
        <w:t>8 Team and Qualifications</w:t>
      </w:r>
    </w:p>
    <w:p>
      <w:pPr/>
      <w:r>
        <w:t>9 Assumptions, Risks, and Dependencies</w:t>
      </w:r>
    </w:p>
    <w:p>
      <w:pPr/>
      <w:r>
        <w:t>10 Pricing Proposal</w:t>
      </w:r>
    </w:p>
    <w:p>
      <w:pPr/>
      <w:r>
        <w:t>11 Client References</w:t>
      </w:r>
    </w:p>
    <w:p>
      <w:pPr/>
      <w:r>
        <w:t>12 Appendices</w:t>
      </w:r>
    </w:p>
    <w:p>
      <w:r>
        <w:br w:type="page"/>
      </w:r>
    </w:p>
    <w:p>
      <w:pPr>
        <w:pStyle w:val="Heading1"/>
      </w:pPr>
      <w:r>
        <w:t>Executive Summary</w:t>
      </w:r>
    </w:p>
    <w:p>
      <w:pPr>
        <w:spacing w:after="240"/>
      </w:pPr>
      <w:r>
        <w:t>Kastle Systems seeks an experienced implementation partner to modernize its ERP and Field Service systems. Our proposal addresses Kastle’s requirements for end-to-end implementation, integration across business platforms, rigorous training, data migration, and ongoing managed services. We deliver cost-effective, scalable, and secure solutions leveraging deep Microsoft Dynamics expertise and proven delivery methodology.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Strategic Goals</w:t>
            </w:r>
          </w:p>
        </w:tc>
        <w:tc>
          <w:tcPr>
            <w:tcW w:type="dxa" w:w="4320"/>
          </w:tcPr>
          <w:p>
            <w:r>
              <w:rPr>
                <w:b/>
              </w:rPr>
              <w:t>Measures of Success</w:t>
            </w:r>
          </w:p>
        </w:tc>
      </w:tr>
      <w:tr>
        <w:tc>
          <w:tcPr>
            <w:tcW w:type="dxa" w:w="4320"/>
          </w:tcPr>
          <w:p>
            <w:r>
              <w:t>Single ERP application for consolidated operations and reporting</w:t>
            </w:r>
          </w:p>
        </w:tc>
        <w:tc>
          <w:tcPr>
            <w:tcW w:type="dxa" w:w="4320"/>
          </w:tcPr>
          <w:p>
            <w:r>
              <w:t>Internal productivity increase</w:t>
            </w:r>
          </w:p>
        </w:tc>
      </w:tr>
      <w:tr>
        <w:tc>
          <w:tcPr>
            <w:tcW w:type="dxa" w:w="4320"/>
          </w:tcPr>
          <w:p>
            <w:r>
              <w:t>Increased inventory and shipping visibility</w:t>
            </w:r>
          </w:p>
        </w:tc>
        <w:tc>
          <w:tcPr>
            <w:tcW w:type="dxa" w:w="4320"/>
          </w:tcPr>
          <w:p>
            <w:r>
              <w:t>Improved management of supply chain and orders</w:t>
            </w:r>
          </w:p>
        </w:tc>
      </w:tr>
      <w:tr>
        <w:tc>
          <w:tcPr>
            <w:tcW w:type="dxa" w:w="4320"/>
          </w:tcPr>
          <w:p>
            <w:r>
              <w:t>Less IT maintenance and licensing costs</w:t>
            </w:r>
          </w:p>
        </w:tc>
        <w:tc>
          <w:tcPr>
            <w:tcW w:type="dxa" w:w="4320"/>
          </w:tcPr>
          <w:p>
            <w:r>
              <w:t>IT can free up bandwidth to work on other projects</w:t>
            </w:r>
          </w:p>
        </w:tc>
      </w:tr>
    </w:tbl>
    <w:p>
      <w:pPr>
        <w:spacing w:after="240"/>
      </w:pPr>
      <w:r>
        <w:t>Our methodology brings strong discipline to ensure a successful implementation and eventual client ownership of the system. The proposed implementation timeline is outlined below.</w:t>
      </w:r>
    </w:p>
    <w:p>
      <w:r>
        <w:drawing>
          <wp:inline xmlns:a="http://schemas.openxmlformats.org/drawingml/2006/main" xmlns:pic="http://schemas.openxmlformats.org/drawingml/2006/picture">
            <wp:extent cx="5486400" cy="3264482"/>
            <wp:docPr id="1" name="Picture 1"/>
            <wp:cNvGraphicFramePr>
              <a:graphicFrameLocks noChangeAspect="1"/>
            </wp:cNvGraphicFramePr>
            <a:graphic>
              <a:graphicData uri="http://schemas.openxmlformats.org/drawingml/2006/picture">
                <pic:pic>
                  <pic:nvPicPr>
                    <pic:cNvPr id="0" name="project_gantt.png"/>
                    <pic:cNvPicPr/>
                  </pic:nvPicPr>
                  <pic:blipFill>
                    <a:blip r:embed="rId9"/>
                    <a:stretch>
                      <a:fillRect/>
                    </a:stretch>
                  </pic:blipFill>
                  <pic:spPr>
                    <a:xfrm>
                      <a:off x="0" y="0"/>
                      <a:ext cx="5486400" cy="3264482"/>
                    </a:xfrm>
                    <a:prstGeom prst="rect"/>
                  </pic:spPr>
                </pic:pic>
              </a:graphicData>
            </a:graphic>
          </wp:inline>
        </w:drawing>
      </w:r>
    </w:p>
    <w:p>
      <w:pPr>
        <w:pStyle w:val="Caption"/>
        <w:jc w:val="center"/>
      </w:pPr>
      <w:r>
        <w:t>Figure 1: Project Implementation Schedule</w:t>
      </w:r>
    </w:p>
    <w:p>
      <w:pPr>
        <w:pStyle w:val="Heading1"/>
      </w:pPr>
      <w:r>
        <w:t>Company Overview</w:t>
      </w:r>
    </w:p>
    <w:p>
      <w:r>
        <w:t>Our company is a leading provider of ERP implementation services, specializing in Microsoft Dynamics platforms. With over 15 years of experience delivering complex modernization projects, we have a proven track record in optimizing operations for organizations across industries, including healthcare, manufacturing, and logistics.</w:t>
      </w:r>
    </w:p>
    <w:p>
      <w:pPr>
        <w:pStyle w:val="Heading1"/>
      </w:pPr>
      <w:r>
        <w:t>Service Capabilities</w:t>
      </w:r>
    </w:p>
    <w:p>
      <w:r>
        <w:t>We offer full lifecycle ERP services, including:</w:t>
      </w:r>
    </w:p>
    <w:p>
      <w:pPr>
        <w:pStyle w:val="ListBullet"/>
      </w:pPr>
      <w:r>
        <w:t>ERP and Field Service system implementation</w:t>
      </w:r>
    </w:p>
    <w:p>
      <w:pPr>
        <w:pStyle w:val="ListBullet"/>
      </w:pPr>
      <w:r>
        <w:t>Platform integration across business applications</w:t>
      </w:r>
    </w:p>
    <w:p>
      <w:pPr>
        <w:pStyle w:val="ListBullet"/>
      </w:pPr>
      <w:r>
        <w:t>Data migration and conversion</w:t>
      </w:r>
    </w:p>
    <w:p>
      <w:pPr>
        <w:pStyle w:val="ListBullet"/>
      </w:pPr>
      <w:r>
        <w:t>Managed services and ongoing support</w:t>
      </w:r>
    </w:p>
    <w:p>
      <w:pPr>
        <w:pStyle w:val="ListBullet"/>
      </w:pPr>
      <w:r>
        <w:t>User training and adoption</w:t>
      </w:r>
    </w:p>
    <w:p>
      <w:pPr>
        <w:pStyle w:val="ListBullet"/>
      </w:pPr>
      <w:r>
        <w:t>System maintenance and upgrades</w:t>
      </w:r>
    </w:p>
    <w:p>
      <w:pPr>
        <w:pStyle w:val="ListBullet"/>
      </w:pPr>
      <w:r>
        <w:t>Reporting and analytics</w:t>
      </w:r>
    </w:p>
    <w:p>
      <w:pPr>
        <w:pStyle w:val="ListBullet"/>
      </w:pPr>
      <w:r>
        <w:t>Security, compliance, and privacy management</w:t>
      </w:r>
    </w:p>
    <w:p>
      <w:pPr>
        <w:pStyle w:val="Heading2"/>
      </w:pPr>
      <w:r>
        <w:t>Requirements Traceability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Reference Section</w:t>
            </w:r>
          </w:p>
        </w:tc>
      </w:tr>
      <w:tr>
        <w:tc>
          <w:tcPr>
            <w:tcW w:type="dxa" w:w="2880"/>
          </w:tcPr>
          <w:p>
            <w:r>
              <w:t>REQ-001</w:t>
            </w:r>
          </w:p>
        </w:tc>
        <w:tc>
          <w:tcPr>
            <w:tcW w:type="dxa" w:w="2880"/>
          </w:tcPr>
          <w:p>
            <w:r>
              <w:t>Proposal follows RFP structure and requirements</w:t>
            </w:r>
          </w:p>
        </w:tc>
        <w:tc>
          <w:tcPr>
            <w:tcW w:type="dxa" w:w="2880"/>
          </w:tcPr>
          <w:p>
            <w:r>
              <w:t>Section: All</w:t>
            </w:r>
          </w:p>
        </w:tc>
      </w:tr>
      <w:tr>
        <w:tc>
          <w:tcPr>
            <w:tcW w:type="dxa" w:w="2880"/>
          </w:tcPr>
          <w:p>
            <w:r>
              <w:t>REQ-002</w:t>
            </w:r>
          </w:p>
        </w:tc>
        <w:tc>
          <w:tcPr>
            <w:tcW w:type="dxa" w:w="2880"/>
          </w:tcPr>
          <w:p>
            <w:r>
              <w:t>Acknowledged receipt and intent to respond</w:t>
            </w:r>
          </w:p>
        </w:tc>
        <w:tc>
          <w:tcPr>
            <w:tcW w:type="dxa" w:w="2880"/>
          </w:tcPr>
          <w:p>
            <w:r>
              <w:t>Section: Executive Summary</w:t>
            </w:r>
          </w:p>
        </w:tc>
      </w:tr>
      <w:tr>
        <w:tc>
          <w:tcPr>
            <w:tcW w:type="dxa" w:w="2880"/>
          </w:tcPr>
          <w:p>
            <w:r>
              <w:t>REQ-003</w:t>
            </w:r>
          </w:p>
        </w:tc>
        <w:tc>
          <w:tcPr>
            <w:tcW w:type="dxa" w:w="2880"/>
          </w:tcPr>
          <w:p>
            <w:r>
              <w:t>Participation in discovery sessions</w:t>
            </w:r>
          </w:p>
        </w:tc>
        <w:tc>
          <w:tcPr>
            <w:tcW w:type="dxa" w:w="2880"/>
          </w:tcPr>
          <w:p>
            <w:r>
              <w:t>Section: Implementation Plan</w:t>
            </w:r>
          </w:p>
        </w:tc>
      </w:tr>
      <w:tr>
        <w:tc>
          <w:tcPr>
            <w:tcW w:type="dxa" w:w="2880"/>
          </w:tcPr>
          <w:p>
            <w:r>
              <w:t>REQ-004</w:t>
            </w:r>
          </w:p>
        </w:tc>
        <w:tc>
          <w:tcPr>
            <w:tcW w:type="dxa" w:w="2880"/>
          </w:tcPr>
          <w:p>
            <w:r>
              <w:t>Methodology covers all requested areas</w:t>
            </w:r>
          </w:p>
        </w:tc>
        <w:tc>
          <w:tcPr>
            <w:tcW w:type="dxa" w:w="2880"/>
          </w:tcPr>
          <w:p>
            <w:r>
              <w:t>Section: Service Capabilities</w:t>
            </w:r>
          </w:p>
        </w:tc>
      </w:tr>
      <w:tr>
        <w:tc>
          <w:tcPr>
            <w:tcW w:type="dxa" w:w="2880"/>
          </w:tcPr>
          <w:p>
            <w:r>
              <w:t>REQ-005</w:t>
            </w:r>
          </w:p>
        </w:tc>
        <w:tc>
          <w:tcPr>
            <w:tcW w:type="dxa" w:w="2880"/>
          </w:tcPr>
          <w:p>
            <w:r>
              <w:t>Support for all major ERP functional areas</w:t>
            </w:r>
          </w:p>
        </w:tc>
        <w:tc>
          <w:tcPr>
            <w:tcW w:type="dxa" w:w="2880"/>
          </w:tcPr>
          <w:p>
            <w:r>
              <w:t>Section: Service Capabilities</w:t>
            </w:r>
          </w:p>
        </w:tc>
      </w:tr>
      <w:tr>
        <w:tc>
          <w:tcPr>
            <w:tcW w:type="dxa" w:w="2880"/>
          </w:tcPr>
          <w:p>
            <w:r>
              <w:t>REQ-006</w:t>
            </w:r>
          </w:p>
        </w:tc>
        <w:tc>
          <w:tcPr>
            <w:tcW w:type="dxa" w:w="2880"/>
          </w:tcPr>
          <w:p>
            <w:r>
              <w:t>Transparent cost breakdowns</w:t>
            </w:r>
          </w:p>
        </w:tc>
        <w:tc>
          <w:tcPr>
            <w:tcW w:type="dxa" w:w="2880"/>
          </w:tcPr>
          <w:p>
            <w:r>
              <w:t>Section: Pricing Proposal</w:t>
            </w:r>
          </w:p>
        </w:tc>
      </w:tr>
      <w:tr>
        <w:tc>
          <w:tcPr>
            <w:tcW w:type="dxa" w:w="2880"/>
          </w:tcPr>
          <w:p>
            <w:r>
              <w:t>REQ-007</w:t>
            </w:r>
          </w:p>
        </w:tc>
        <w:tc>
          <w:tcPr>
            <w:tcW w:type="dxa" w:w="2880"/>
          </w:tcPr>
          <w:p>
            <w:r>
              <w:t>Relevant customer references provided</w:t>
            </w:r>
          </w:p>
        </w:tc>
        <w:tc>
          <w:tcPr>
            <w:tcW w:type="dxa" w:w="2880"/>
          </w:tcPr>
          <w:p>
            <w:r>
              <w:t>Section: Client References</w:t>
            </w:r>
          </w:p>
        </w:tc>
      </w:tr>
      <w:tr>
        <w:tc>
          <w:tcPr>
            <w:tcW w:type="dxa" w:w="2880"/>
          </w:tcPr>
          <w:p>
            <w:r>
              <w:t>REQ-009</w:t>
            </w:r>
          </w:p>
        </w:tc>
        <w:tc>
          <w:tcPr>
            <w:tcW w:type="dxa" w:w="2880"/>
          </w:tcPr>
          <w:p>
            <w:r>
              <w:t>Detailed implementation, testing, training, migration plans</w:t>
            </w:r>
          </w:p>
        </w:tc>
        <w:tc>
          <w:tcPr>
            <w:tcW w:type="dxa" w:w="2880"/>
          </w:tcPr>
          <w:p>
            <w:r>
              <w:t>Section: Implementation Plan</w:t>
            </w:r>
          </w:p>
        </w:tc>
      </w:tr>
      <w:tr>
        <w:tc>
          <w:tcPr>
            <w:tcW w:type="dxa" w:w="2880"/>
          </w:tcPr>
          <w:p>
            <w:r>
              <w:t>REQ-010</w:t>
            </w:r>
          </w:p>
        </w:tc>
        <w:tc>
          <w:tcPr>
            <w:tcW w:type="dxa" w:w="2880"/>
          </w:tcPr>
          <w:p>
            <w:r>
              <w:t>Support model, help desk, SLA, scalability</w:t>
            </w:r>
          </w:p>
        </w:tc>
        <w:tc>
          <w:tcPr>
            <w:tcW w:type="dxa" w:w="2880"/>
          </w:tcPr>
          <w:p>
            <w:r>
              <w:t>Section: Project Management</w:t>
            </w:r>
          </w:p>
        </w:tc>
      </w:tr>
      <w:tr>
        <w:tc>
          <w:tcPr>
            <w:tcW w:type="dxa" w:w="2880"/>
          </w:tcPr>
          <w:p>
            <w:r>
              <w:t>REQ-011</w:t>
            </w:r>
          </w:p>
        </w:tc>
        <w:tc>
          <w:tcPr>
            <w:tcW w:type="dxa" w:w="2880"/>
          </w:tcPr>
          <w:p>
            <w:r>
              <w:t>Confidentiality and non-disclosure compliance</w:t>
            </w:r>
          </w:p>
        </w:tc>
        <w:tc>
          <w:tcPr>
            <w:tcW w:type="dxa" w:w="2880"/>
          </w:tcPr>
          <w:p>
            <w:r>
              <w:t>Section: Security &amp; Compliance</w:t>
            </w:r>
          </w:p>
        </w:tc>
      </w:tr>
      <w:tr>
        <w:tc>
          <w:tcPr>
            <w:tcW w:type="dxa" w:w="2880"/>
          </w:tcPr>
          <w:p>
            <w:r>
              <w:t>REQ-014</w:t>
            </w:r>
          </w:p>
        </w:tc>
        <w:tc>
          <w:tcPr>
            <w:tcW w:type="dxa" w:w="2880"/>
          </w:tcPr>
          <w:p>
            <w:r>
              <w:t>Disclosure of conflicts, legal actions</w:t>
            </w:r>
          </w:p>
        </w:tc>
        <w:tc>
          <w:tcPr>
            <w:tcW w:type="dxa" w:w="2880"/>
          </w:tcPr>
          <w:p>
            <w:r>
              <w:t>Section: Appendices</w:t>
            </w:r>
          </w:p>
        </w:tc>
      </w:tr>
      <w:tr>
        <w:tc>
          <w:tcPr>
            <w:tcW w:type="dxa" w:w="2880"/>
          </w:tcPr>
          <w:p>
            <w:r>
              <w:t>REQ-016</w:t>
            </w:r>
          </w:p>
        </w:tc>
        <w:tc>
          <w:tcPr>
            <w:tcW w:type="dxa" w:w="2880"/>
          </w:tcPr>
          <w:p>
            <w:r>
              <w:t>Proposal submission format and deadline</w:t>
            </w:r>
          </w:p>
        </w:tc>
        <w:tc>
          <w:tcPr>
            <w:tcW w:type="dxa" w:w="2880"/>
          </w:tcPr>
          <w:p>
            <w:r>
              <w:t>Section: Appendices</w:t>
            </w:r>
          </w:p>
        </w:tc>
      </w:tr>
    </w:tbl>
    <w:p>
      <w:r>
        <w:drawing>
          <wp:inline xmlns:a="http://schemas.openxmlformats.org/drawingml/2006/main" xmlns:pic="http://schemas.openxmlformats.org/drawingml/2006/picture">
            <wp:extent cx="5303520" cy="20860512"/>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303520" cy="20860512"/>
                    </a:xfrm>
                    <a:prstGeom prst="rect"/>
                  </pic:spPr>
                </pic:pic>
              </a:graphicData>
            </a:graphic>
          </wp:inline>
        </w:drawing>
      </w:r>
    </w:p>
    <w:p>
      <w:pPr>
        <w:pStyle w:val="Caption"/>
        <w:jc w:val="center"/>
      </w:pPr>
      <w:r>
        <w:t>Figure 2: Project workflow from discovery to hypercare</w:t>
      </w:r>
    </w:p>
    <w:p>
      <w:pPr>
        <w:pStyle w:val="Heading1"/>
      </w:pPr>
      <w:r>
        <w:t>Implementation Plan and Details</w:t>
      </w:r>
    </w:p>
    <w:p>
      <w:r>
        <w:t>Our implementation plan is designed to accelerate delivery while minimizing disruption to business operations. The plan includes phased requirements gathering, solution design, iterative build, comprehensive testing, and robust deployment. Each phase is supported by dedicated teams and clear milestones.</w:t>
      </w:r>
    </w:p>
    <w:p>
      <w:r>
        <w:t>Key milestones include:</w:t>
      </w:r>
    </w:p>
    <w:p>
      <w:pPr>
        <w:pStyle w:val="ListBullet"/>
      </w:pPr>
      <w:r>
        <w:t>Requirements Analysis</w:t>
      </w:r>
    </w:p>
    <w:p>
      <w:pPr>
        <w:pStyle w:val="ListBullet"/>
      </w:pPr>
      <w:r>
        <w:t>Solution Design</w:t>
      </w:r>
    </w:p>
    <w:p>
      <w:pPr>
        <w:pStyle w:val="ListBullet"/>
      </w:pPr>
      <w:r>
        <w:t>Development Phase 1</w:t>
      </w:r>
    </w:p>
    <w:p>
      <w:pPr>
        <w:pStyle w:val="ListBullet"/>
      </w:pPr>
      <w:r>
        <w:t>Development Phase 2</w:t>
      </w:r>
    </w:p>
    <w:p>
      <w:pPr>
        <w:pStyle w:val="ListBullet"/>
      </w:pPr>
      <w:r>
        <w:t>Integration Testing</w:t>
      </w:r>
    </w:p>
    <w:p>
      <w:pPr>
        <w:pStyle w:val="ListBullet"/>
      </w:pPr>
      <w:r>
        <w:t>User Acceptance Testing</w:t>
      </w:r>
    </w:p>
    <w:p>
      <w:pPr>
        <w:pStyle w:val="ListBullet"/>
      </w:pPr>
      <w:r>
        <w:t>Training &amp; Documentation</w:t>
      </w:r>
    </w:p>
    <w:p>
      <w:pPr>
        <w:pStyle w:val="ListBullet"/>
      </w:pPr>
      <w:r>
        <w:t>Deployment &amp; Go-Live</w:t>
      </w:r>
    </w:p>
    <w:p>
      <w:pPr>
        <w:pStyle w:val="ListBullet"/>
      </w:pPr>
      <w:r>
        <w:t>Hypercare Support</w:t>
      </w:r>
    </w:p>
    <w:p>
      <w:r>
        <w:drawing>
          <wp:inline xmlns:a="http://schemas.openxmlformats.org/drawingml/2006/main" xmlns:pic="http://schemas.openxmlformats.org/drawingml/2006/picture">
            <wp:extent cx="5486400" cy="2285655"/>
            <wp:docPr id="3" name="Picture 3"/>
            <wp:cNvGraphicFramePr>
              <a:graphicFrameLocks noChangeAspect="1"/>
            </wp:cNvGraphicFramePr>
            <a:graphic>
              <a:graphicData uri="http://schemas.openxmlformats.org/drawingml/2006/picture">
                <pic:pic>
                  <pic:nvPicPr>
                    <pic:cNvPr id="0" name="milestone_timeline.png"/>
                    <pic:cNvPicPr/>
                  </pic:nvPicPr>
                  <pic:blipFill>
                    <a:blip r:embed="rId11"/>
                    <a:stretch>
                      <a:fillRect/>
                    </a:stretch>
                  </pic:blipFill>
                  <pic:spPr>
                    <a:xfrm>
                      <a:off x="0" y="0"/>
                      <a:ext cx="5486400" cy="2285655"/>
                    </a:xfrm>
                    <a:prstGeom prst="rect"/>
                  </pic:spPr>
                </pic:pic>
              </a:graphicData>
            </a:graphic>
          </wp:inline>
        </w:drawing>
      </w:r>
    </w:p>
    <w:p>
      <w:pPr>
        <w:pStyle w:val="Caption"/>
        <w:jc w:val="center"/>
      </w:pPr>
      <w:r>
        <w:t>Figure 3: Program milestone timeline</w:t>
      </w:r>
    </w:p>
    <w:p>
      <w:pPr>
        <w:pStyle w:val="Heading1"/>
      </w:pPr>
      <w:r>
        <w:t>Project Management and Governance</w:t>
      </w:r>
    </w:p>
    <w:p>
      <w:r>
        <w:t>Our project management approach is based on PMI and Agile principles, ensuring clear communication, transparency, and rigorous reporting. Governance is structured with defined roles, escalation paths, and regular steering committee meetings. Risk management and change control are embedded throughout.</w:t>
      </w:r>
    </w:p>
    <w:p>
      <w:pPr>
        <w:pStyle w:val="Heading1"/>
      </w:pPr>
      <w:r>
        <w:t>Security, Privacy, and Compliance</w:t>
      </w:r>
    </w:p>
    <w:p>
      <w:r>
        <w:t>Security is integrated at each stage, leveraging industry standards such as ISO 27001 and SOC 2. Confidentiality, privacy, and regulatory compliance are maintained via technical safeguards, access controls, and clear data management policies. All proposal materials are marked for confidentiality as required.</w:t>
      </w:r>
    </w:p>
    <w:p>
      <w:pPr>
        <w:pStyle w:val="Heading1"/>
      </w:pPr>
      <w:r>
        <w:t>Team and Qualifications</w:t>
      </w:r>
    </w:p>
    <w:p>
      <w:r>
        <w:t>Our team consists of seasoned professionals with deep Microsoft Dynamics expertise, project management certifications, and industry experience. Key members include Solution Architects, Business Analysts, Senior Developers, QA leads, and Training Specialists.</w:t>
      </w:r>
    </w:p>
    <w:p>
      <w:pPr>
        <w:pStyle w:val="Heading1"/>
      </w:pPr>
      <w:r>
        <w:t>Assumptions, Risks, and Dependencies</w:t>
      </w:r>
    </w:p>
    <w:p>
      <w:r>
        <w:t>Key assumptions include timely access to Kastle Systems stakeholders, legacy system documentation, and test environments. Risks are managed through early identification, mitigation planning, and escalation procedures. Dependencies include third-party integrations, data migration readiness, and resource availability.</w:t>
      </w:r>
    </w:p>
    <w:p>
      <w:pPr>
        <w:pStyle w:val="Heading1"/>
      </w:pPr>
      <w:r>
        <w:t>Pricing Proposal</w:t>
      </w:r>
    </w:p>
    <w:p>
      <w:r>
        <w:t>Our pricing is transparent and itemized by implementation, integration, training, data migration, managed services, and ongoing costs. Pricing is subject to final scope and agreed deliverables. Detailed cost breakdowns are provided in the appendix.</w:t>
      </w:r>
    </w:p>
    <w:p>
      <w:pPr>
        <w:pStyle w:val="Heading1"/>
      </w:pPr>
      <w:r>
        <w:t>Client References</w:t>
      </w:r>
    </w:p>
    <w:p>
      <w:r>
        <w:t>References available upon request. Two references in healthcare and three additional relevant projects have been included in the appendix.</w:t>
      </w:r>
    </w:p>
    <w:p>
      <w:pPr>
        <w:pStyle w:val="Heading1"/>
      </w:pPr>
      <w:r>
        <w:t>Appendices</w:t>
      </w:r>
    </w:p>
    <w:p>
      <w:r>
        <w:t>Appendix A: Master Service Agreement and Service Level Agreement drafts</w:t>
      </w:r>
    </w:p>
    <w:p>
      <w:r>
        <w:t>Appendix B: Client References and Contact Information</w:t>
      </w:r>
    </w:p>
    <w:p>
      <w:r>
        <w:t>Appendix C: Proposal Submission and Confidentiality Details</w:t>
      </w:r>
    </w:p>
    <w:p>
      <w:r>
        <w:t>Appendix D: Conflicts of Interest and Legal Action Disclosures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