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t xml:space="preserve">SolvAI</w:t>
      </w:r>
      <w:r>
        <w:t xml:space="preserve"> </w:t>
      </w:r>
      <w:r>
        <w:t xml:space="preserve">collaborator</w:t>
      </w:r>
      <w:r>
        <w:t xml:space="preserve"> </w:t>
      </w:r>
      <w:r>
        <w:t xml:space="preserve">follow-up</w:t>
      </w:r>
      <w:r>
        <w:t xml:space="preserve"> </w:t>
      </w:r>
      <w:r>
        <w:t xml:space="preserve">audit</w:t>
      </w:r>
    </w:p>
    <w:p>
      <w:pPr>
        <w:pStyle w:val="Subtitle"/>
        <w:keepNext/>
      </w:pPr>
      <w:r>
        <w:t xml:space="preserve">Answers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scientific</w:t>
      </w:r>
      <w:r>
        <w:t xml:space="preserve"> </w:t>
      </w:r>
      <w:r>
        <w:t xml:space="preserve">questions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Michael</w:t>
      </w:r>
      <w:r>
        <w:t xml:space="preserve"> </w:t>
      </w:r>
      <w:r>
        <w:t xml:space="preserve">Levitt</w:t>
      </w:r>
      <w:r>
        <w:t xml:space="preserve"> </w:t>
      </w:r>
      <w:r>
        <w:t xml:space="preserve">and</w:t>
      </w:r>
      <w:r>
        <w:t xml:space="preserve"> </w:t>
      </w:r>
      <w:r>
        <w:t xml:space="preserve">Boris</w:t>
      </w:r>
    </w:p>
    <w:p>
      <w:pPr>
        <w:pStyle w:val="Date"/>
        <w:pBdr>
          <w:bottom w:val="single" w:sz="6" w:space="4" w:color="16858C"/>
        </w:pBdr>
      </w:pPr>
      <w:r>
        <w:t xml:space="preserve">28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  <w:spacing w:before="100" w:after="200"/>
        <w:ind w:left="198" w:right="198"/>
        <w:shd w:fill="E9F5F4"/>
      </w:pPr>
      <w:r>
        <w:rPr>
          <w:b/>
        </w:rPr>
        <w:t xml:space="preserve">Evidence trail.</w:t>
      </w:r>
      <w:r>
        <w:t xml:space="preserve"> </w:t>
      </w:r>
      <w:r>
        <w:t xml:space="preserve">Blue file links open the exact frozen artifact in the</w:t>
      </w:r>
      <w:r>
        <w:t xml:space="preserve"> </w:t>
      </w:r>
      <w:hyperlink r:id="rId20">
        <w:r>
          <w:rPr>
            <w:rStyle w:val="Hyperlink"/>
          </w:rPr>
          <w:t xml:space="preserve">canonical SolvAI repository</w:t>
        </w:r>
      </w:hyperlink>
      <w:r>
        <w:t xml:space="preserve">. Quantitative follow-up tables were derived without model fitting or model selection. The frozen models, folds and manuscript were not changed.</w:t>
      </w:r>
    </w:p>
    <w:p>
      <w:pPr>
        <w:pStyle w:val="Heading2"/>
        <w:keepNext/>
      </w:pPr>
      <w:bookmarkStart w:id="21" w:name="executive-assessment"/>
      <w:r>
        <w:t xml:space="preserve">Executive assessment</w:t>
      </w:r>
      <w:bookmarkEnd w:id="21"/>
    </w:p>
    <w:tbl>
      <w:tblPr>
        <w:tblStyle w:val="LightShading-Accent1"/>
        <w:tblW w:type="pct" w:w="5000.0"/>
        <w:tblLayout w:type="fixed"/>
        <w:tblLook w:firstRow="1"/>
      </w:tblPr>
      <w:tblGrid>
        <w:gridCol w:w="1701"/>
        <w:gridCol w:w="624"/>
        <w:gridCol w:w="4876"/>
        <w:gridCol w:w="2438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170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Item</w:t>
            </w:r>
          </w:p>
        </w:tc>
        <w:tc>
          <w:tcPr>
            <w:tcW w:type="dxa" w:w="62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Status</w:t>
            </w:r>
          </w:p>
        </w:tc>
        <w:tc>
          <w:tcPr>
            <w:tcW w:type="dxa" w:w="4876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Answer in one line</w:t>
            </w:r>
          </w:p>
        </w:tc>
        <w:tc>
          <w:tcPr>
            <w:tcW w:type="dxa" w:w="2438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Recommendation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1. Identity, coverage and applicability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A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The final endpoint and every teacher are free of ARROW identities under exact and standardized-equivalence checks; teacher-dataset coverage is not an inference lookup requirement.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Supplement / Methods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2. Which response sources matter?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B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The empirical/residual block is strongest alone; the narrow multi-source stack accounts for most of the gain, while SMD and ConfSolv add small, unresolved conditional increments.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Main + Supplement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2a. What are the 15 response values?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A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They are 15 named scalar targets—empirical solute coordinates and calculated, corrected and conformational solvent responses—not opaque latent embeddings.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Collaborator clarification / Supplementary Table 1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3. Physically meaningful baselines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B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The causal baseline is 0.303 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; classical ARROW (0.785) supplies a legitimate physical scale, but the proposed historical 19-parameter model is not reproducible from the materials currently available.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Main; no approximate baseline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4. Hard cases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B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The largest errors include methane, tert-butanol, two amides and several substituted/polycyclic aromatics; most large SolvAI misses are not shared by PIMD8.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Supplement + compact Discussion note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5.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m:oMath>
              <m:r>
                <m:t>λ</m:t>
              </m:r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/high-fidelity interpretation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B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Large structure-to-response error is real, but the learned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m:oMath>
              <m:r>
                <m:t>d</m:t>
              </m:r>
              <m:r>
                <m:t>H</m:t>
              </m:r>
              <m:r>
                <m:t>/</m:t>
              </m:r>
              <m:r>
                <m:t>d</m:t>
              </m:r>
              <m:r>
                <m:t>λ</m:t>
              </m:r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and component curves are also protocol-conditioned rather than intrinsic molecular observables.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Discussion / Supplement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6. Truly blind challenge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C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A valid challenge is possible only if an independent custodian freezes the molecules before predictions; it has not been run. Aspartic acid is unsuitable for the neutral-solute claim.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Optional prospective Supplement; do not delay submission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7. Octanol transfer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D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Clean direct octanol data are too small for the proposed design, while the larger set is largely partition-derived; most SolvAI priors are water-specific.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F5F4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Future work / separate study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8. Closest literature</w:t>
            </w:r>
          </w:p>
        </w:tc>
        <w:tc>
          <w:tcPr>
            <w:tcW w:type="dxa" w:w="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center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A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The current Introduction already credits the closest two-stage hydration, per-query physical representation, computed-transfer and surrogate-descriptor precedents.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No action</w:t>
            </w:r>
          </w:p>
        </w:tc>
      </w:tr>
    </w:tbl>
    <w:p>
      <w:pPr>
        <w:pStyle w:val="BodyText"/>
      </w:pPr>
      <w:r>
        <w:t xml:space="preserve">Here,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means already answered convincingly,</w:t>
      </w:r>
      <w:r>
        <w:t xml:space="preserve"> </w:t>
      </w:r>
      <w:r>
        <w:rPr>
          <w:b/>
        </w:rPr>
        <w:t xml:space="preserve">B</w:t>
      </w:r>
      <w:r>
        <w:t xml:space="preserve"> </w:t>
      </w:r>
      <w:r>
        <w:t xml:space="preserve">means a new analysis of</w:t>
      </w:r>
      <w:r>
        <w:t xml:space="preserve"> </w:t>
      </w:r>
      <w:r>
        <w:t xml:space="preserve">frozen outputs,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means a clean prospective run would be required, and</w:t>
      </w:r>
      <w:r>
        <w:t xml:space="preserve"> </w:t>
      </w:r>
      <w:r>
        <w:rPr>
          <w:b/>
        </w:rPr>
        <w:t xml:space="preserve">D</w:t>
      </w:r>
      <w:r>
        <w:t xml:space="preserve"> </w:t>
      </w:r>
      <w:r>
        <w:t xml:space="preserve">means outside the present manuscript. The only new executable analysis was</w:t>
      </w:r>
      <w:r>
        <w:t xml:space="preserve"> </w:t>
      </w:r>
      <w:r>
        <w:t xml:space="preserve">descriptive: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scripts/analyze_collaborator_followup.py</w:t>
      </w:r>
    </w:p>
    <w:p>
      <w:pPr>
        <w:pStyle w:val="FirstParagraph"/>
      </w:pPr>
      <w:r>
        <w:t xml:space="preserve">It fits no model and writes machine-readable summaries to</w:t>
      </w:r>
      <w:r>
        <w:t xml:space="preserve"> </w:t>
      </w:r>
      <w:hyperlink r:id="rId22">
        <w:r>
          <w:rPr>
            <w:rStyle w:val="Hyperlink"/>
          </w:rPr>
          <w:t xml:space="preserve">results/followup_audit</w:t>
        </w:r>
      </w:hyperlink>
      <w:r>
        <w:t xml:space="preserve">. All endpoint values below use the conservative</w:t>
      </w:r>
      <w:r>
        <w:t xml:space="preserve"> </w:t>
      </w:r>
      <w:r>
        <w:t xml:space="preserve">standardized-exclusion teachers and frozen confirmatory predictions.</w:t>
      </w:r>
    </w:p>
    <w:p>
      <w:pPr>
        <w:pStyle w:val="Heading2"/>
        <w:keepNext/>
      </w:pPr>
      <w:bookmarkStart w:id="23" w:name="quick-collaborator-qa"/>
      <w:r>
        <w:t xml:space="preserve">Quick collaborator Q&amp;A</w:t>
      </w:r>
      <w:bookmarkEnd w:id="23"/>
    </w:p>
    <w:p>
      <w:pPr>
        <w:pStyle w:val="Heading3"/>
        <w:keepNext/>
      </w:pPr>
      <w:bookmarkStart w:id="24" w:name="Xb842cac7b236dbbcccaef0fde6439d119ac95e2"/>
      <w:r>
        <w:t xml:space="preserve">Does a new molecule need to exist in all six teacher datasets?</w:t>
      </w:r>
      <w:bookmarkEnd w:id="24"/>
    </w:p>
    <w:p>
      <w:pPr>
        <w:pStyle w:val="FirstParagraph"/>
      </w:pPr>
      <w:r>
        <w:rPr>
          <w:b/>
        </w:rPr>
        <w:t xml:space="preserve">No.</w:t>
      </w:r>
      <w:r>
        <w:t xml:space="preserve"> </w:t>
      </w:r>
      <w:r>
        <w:t xml:space="preserve">Those datasets were used to train frozen structure-to-response surrogates;</w:t>
      </w:r>
      <w:r>
        <w:t xml:space="preserve"> </w:t>
      </w:r>
      <w:r>
        <w:t xml:space="preserve">at inference, each surrogate predicts its response coordinate directly from a new</w:t>
      </w:r>
      <w:r>
        <w:t xml:space="preserve"> </w:t>
      </w:r>
      <w:r>
        <w:t xml:space="preserve">SMILES rather than looking the molecule up in its source table. This is computational</w:t>
      </w:r>
      <w:r>
        <w:t xml:space="preserve"> </w:t>
      </w:r>
      <w:r>
        <w:t xml:space="preserve">coverage, not proof of unrestricted validity: the tested domain is neutral,</w:t>
      </w:r>
      <w:r>
        <w:t xml:space="preserve"> </w:t>
      </w:r>
      <w:r>
        <w:t xml:space="preserve">predominantly small organic hydration chemistry, not ions, salts, metals,</w:t>
      </w:r>
      <w:r>
        <w:t xml:space="preserve"> </w:t>
      </w:r>
      <w:r>
        <w:t xml:space="preserve">biomacromolecules or chemically remote structures.</w:t>
      </w:r>
    </w:p>
    <w:p>
      <w:pPr>
        <w:pStyle w:val="Heading3"/>
        <w:keepNext/>
      </w:pPr>
      <w:bookmarkStart w:id="25" w:name="X454220fb30025a9f2f5eee96ff014ad9cf291ba"/>
      <w:r>
        <w:t xml:space="preserve">Does the advantage survive genuinely different chemistry?</w:t>
      </w:r>
      <w:bookmarkEnd w:id="25"/>
    </w:p>
    <w:p>
      <w:pPr>
        <w:pStyle w:val="FirstParagraph"/>
      </w:pPr>
      <w:r>
        <w:rPr>
          <w:b/>
        </w:rPr>
        <w:t xml:space="preserve">Yes as a relative advantage, but not at the same absolute accuracy.</w:t>
      </w:r>
      <w:r>
        <w:t xml:space="preserve"> </w:t>
      </w:r>
      <w:r>
        <w:t xml:space="preserve">When chemical</w:t>
      </w:r>
      <w:r>
        <w:t xml:space="preserve"> </w:t>
      </w:r>
      <w:r>
        <w:t xml:space="preserve">separation was applied to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endpoint-labelled training molecules, family holdout</w:t>
      </w:r>
      <w:r>
        <w:t xml:space="preserve"> </w:t>
      </w:r>
      <w:r>
        <w:t xml:space="preserve">gave</w:t>
      </w:r>
      <w:r>
        <w:t xml:space="preserve"> </w:t>
      </w:r>
      <w:r>
        <w:rPr>
          <w:b/>
        </w:rPr>
        <w:t xml:space="preserve">0.468 versus 1.262</w:t>
      </w:r>
      <w:r>
        <w:t xml:space="preserve">, scaffold holdout</w:t>
      </w:r>
      <w:r>
        <w:t xml:space="preserve"> </w:t>
      </w:r>
      <w:r>
        <w:rPr>
          <w:b/>
        </w:rPr>
        <w:t xml:space="preserve">0.376 versus 0.728</w:t>
      </w:r>
      <w:r>
        <w:t xml:space="preserve">, and a Butina</w:t>
      </w:r>
      <w:r>
        <w:t xml:space="preserve"> </w:t>
      </w:r>
      <w:r>
        <w:t xml:space="preserve">cluster split</w:t>
      </w:r>
      <w:r>
        <w:t xml:space="preserve"> </w:t>
      </w:r>
      <w:r>
        <w:rPr>
          <w:b/>
        </w:rPr>
        <w:t xml:space="preserve">0.216 versus 0.349</w:t>
      </w:r>
      <w:r>
        <w:t xml:space="preserve"> </w:t>
      </w:r>
      <w:r>
        <w:t xml:space="preserve">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SolvAI versus the matched</w:t>
      </w:r>
      <w:r>
        <w:t xml:space="preserve"> </w:t>
      </w:r>
      <w:r>
        <w:t xml:space="preserve">structure-only model. After excluding every training molecule above Morgan</w:t>
      </w:r>
      <w:r>
        <w:t xml:space="preserve"> </w:t>
      </w:r>
      <w:r>
        <w:t xml:space="preserve">similarities 0.50, 0.60, 0.70 and 0.80 to each test molecule, the corresponding pairs</w:t>
      </w:r>
      <w:r>
        <w:t xml:space="preserve"> </w:t>
      </w:r>
      <w:r>
        <w:t xml:space="preserve">were</w:t>
      </w:r>
      <w:r>
        <w:t xml:space="preserve"> </w:t>
      </w:r>
      <w:r>
        <w:rPr>
          <w:b/>
        </w:rPr>
        <w:t xml:space="preserve">0.219/0.359, 0.211/0.344, 0.211/0.343 and 0.210/0.339</w:t>
      </w:r>
      <w:r>
        <w:t xml:space="preserve">. The priors therefore</w:t>
      </w:r>
      <w:r>
        <w:t xml:space="preserve"> </w:t>
      </w:r>
      <w:r>
        <w:t xml:space="preserve">retain value under genuine separation, while the family/scaffold results also show</w:t>
      </w:r>
      <w:r>
        <w:t xml:space="preserve"> </w:t>
      </w:r>
      <w:r>
        <w:t xml:space="preserve">that broad chemical extrapolation remains harder than interpolation.</w:t>
      </w:r>
    </w:p>
    <w:p>
      <w:pPr>
        <w:pStyle w:val="Heading3"/>
        <w:keepNext/>
      </w:pPr>
      <w:bookmarkStart w:id="26" w:name="X35c707a895f4a3e8aa3cfb3dec1f31708bab056"/>
      <w:r>
        <w:t xml:space="preserve">Which source contributes most—is one source responsible?</w:t>
      </w:r>
      <w:bookmarkEnd w:id="26"/>
    </w:p>
    <w:p>
      <w:pPr>
        <w:pStyle w:val="FirstParagraph"/>
      </w:pPr>
      <w:r>
        <w:t xml:space="preserve">The strongest block</w:t>
      </w:r>
      <w:r>
        <w:t xml:space="preserve"> </w:t>
      </w:r>
      <w:r>
        <w:rPr>
          <w:i/>
        </w:rPr>
        <w:t xml:space="preserve">in isolation</w:t>
      </w:r>
      <w:r>
        <w:t xml:space="preserve"> </w:t>
      </w:r>
      <w:r>
        <w:t xml:space="preserve">is the empirical/residual-corrected set (Abraham</w:t>
      </w:r>
      <w:r>
        <w:t xml:space="preserve"> </w:t>
      </w:r>
      <w:r>
        <w:t xml:space="preserve">axes plus corrected OpenFF/GBn2):</w:t>
      </w:r>
      <w:r>
        <w:t xml:space="preserve"> </w:t>
      </w:r>
      <w:r>
        <w:rPr>
          <w:b/>
        </w:rPr>
        <w:t xml:space="preserve">0.243 versus 0.303</w:t>
      </w:r>
      <w:r>
        <w:t xml:space="preserve"> </w:t>
      </w:r>
      <w:r>
        <w:t xml:space="preserve">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w:r>
        <w:t xml:space="preserve">structure only. Computation-derived core and SMD-only blocks each give about</w:t>
      </w:r>
      <w:r>
        <w:t xml:space="preserve"> </w:t>
      </w:r>
      <w:r>
        <w:rPr>
          <w:b/>
        </w:rPr>
        <w:t xml:space="preserve">0.253</w:t>
      </w:r>
      <w:r>
        <w:t xml:space="preserve">;</w:t>
      </w:r>
      <w:r>
        <w:t xml:space="preserve"> </w:t>
      </w:r>
      <w:r>
        <w:t xml:space="preserve">ConfSolv alone is nearly neutral at</w:t>
      </w:r>
      <w:r>
        <w:t xml:space="preserve"> </w:t>
      </w:r>
      <w:r>
        <w:rPr>
          <w:b/>
        </w:rPr>
        <w:t xml:space="preserve">0.299</w:t>
      </w:r>
      <w:r>
        <w:t xml:space="preserve">. In combination, however, the narrow</w:t>
      </w:r>
      <w:r>
        <w:t xml:space="preserve"> </w:t>
      </w:r>
      <w:r>
        <w:t xml:space="preserve">multi-source stack reaches</w:t>
      </w:r>
      <w:r>
        <w:t xml:space="preserve"> </w:t>
      </w:r>
      <w:r>
        <w:rPr>
          <w:b/>
        </w:rPr>
        <w:t xml:space="preserve">0.212</w:t>
      </w:r>
      <w:r>
        <w:t xml:space="preserve">, adding SMD gives</w:t>
      </w:r>
      <w:r>
        <w:t xml:space="preserve"> </w:t>
      </w:r>
      <w:r>
        <w:rPr>
          <w:b/>
        </w:rPr>
        <w:t xml:space="preserve">0.207</w:t>
      </w:r>
      <w:r>
        <w:t xml:space="preserve">, and the full stack</w:t>
      </w:r>
      <w:r>
        <w:t xml:space="preserve"> </w:t>
      </w:r>
      <w:r>
        <w:t xml:space="preserve">gives</w:t>
      </w:r>
      <w:r>
        <w:t xml:space="preserve"> </w:t>
      </w:r>
      <w:r>
        <w:rPr>
          <w:b/>
        </w:rPr>
        <w:t xml:space="preserve">0.202</w:t>
      </w:r>
      <w:r>
        <w:t xml:space="preserve">. The small conditional SMD and ConfSolv increments are not separately</w:t>
      </w:r>
      <w:r>
        <w:t xml:space="preserve"> </w:t>
      </w:r>
      <w:r>
        <w:t xml:space="preserve">resolved by their paired intervals, so the evidence supports complementarity across</w:t>
      </w:r>
      <w:r>
        <w:t xml:space="preserve"> </w:t>
      </w:r>
      <w:r>
        <w:t xml:space="preserve">an aligned response layer—not a claim that one teacher causes the full result.</w:t>
      </w:r>
    </w:p>
    <w:p>
      <w:pPr>
        <w:pStyle w:val="Heading3"/>
        <w:keepNext/>
      </w:pPr>
      <w:bookmarkStart w:id="27" w:name="X03248228140a8a5c707bf4290e729c4cc230ce1"/>
      <w:r>
        <w:t xml:space="preserve">Why did the λ/alchemical-response experiment fail?</w:t>
      </w:r>
      <w:bookmarkEnd w:id="27"/>
    </w:p>
    <w:p>
      <w:pPr>
        <w:pStyle w:val="FirstParagraph"/>
      </w:pPr>
      <w:r>
        <w:t xml:space="preserve">Two limitations coincide. First, the structure-to-response heads were not accurate</w:t>
      </w:r>
      <w:r>
        <w:t xml:space="preserve"> </w:t>
      </w:r>
      <w:r>
        <w:t xml:space="preserve">enough: their MAEs were</w:t>
      </w:r>
      <w:r>
        <w:t xml:space="preserve"> </w:t>
      </w:r>
      <w:r>
        <w:rPr>
          <w:b/>
        </w:rPr>
        <w:t xml:space="preserve">1.275–5.199 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, and adding the predicted</w:t>
      </w:r>
      <w:r>
        <w:t xml:space="preserve"> </w:t>
      </w:r>
      <w:r>
        <w:t xml:space="preserve">PIMD2 responses worsened the matched endpoint from</w:t>
      </w:r>
      <w:r>
        <w:t xml:space="preserve"> </w:t>
      </w:r>
      <w:r>
        <w:rPr>
          <w:b/>
        </w:rPr>
        <w:t xml:space="preserve">0.19592 to 0.20136</w:t>
      </w:r>
      <w:r>
        <w:t xml:space="preserve">. Second,</w:t>
      </w:r>
      <w:r>
        <w:t xml:space="preserve"> </w:t>
      </w:r>
      <w:r>
        <w:t xml:space="preserve">intermediate</w:t>
      </w:r>
      <w:r>
        <w:t xml:space="preserve"> </w:t>
      </w:r>
      <m:oMath>
        <m:r>
          <m:t>d</m:t>
        </m:r>
        <m:r>
          <m:t>H</m:t>
        </m:r>
        <m:r>
          <m:t>/</m:t>
        </m:r>
        <m:r>
          <m:t>d</m:t>
        </m:r>
        <m:r>
          <m:t>λ</m:t>
        </m:r>
      </m:oMath>
      <w:r>
        <w:t xml:space="preserve"> </w:t>
      </w:r>
      <w:r>
        <w:t xml:space="preserve">values are conditioned on the chosen coupling schedule,</w:t>
      </w:r>
      <w:r>
        <w:t xml:space="preserve"> </w:t>
      </w:r>
      <w:r>
        <w:t xml:space="preserve">soft-core form and parameterization; unlike the integrated free-energy endpoint,</w:t>
      </w:r>
      <w:r>
        <w:t xml:space="preserve"> </w:t>
      </w:r>
      <w:r>
        <w:t xml:space="preserve">their detailed curve is not a unique intrinsic molecular target. Sparse supervision</w:t>
      </w:r>
      <w:r>
        <w:t xml:space="preserve"> </w:t>
      </w:r>
      <w:r>
        <w:t xml:space="preserve">and protocol-dependent targets therefore both limit transfer.</w:t>
      </w:r>
    </w:p>
    <w:p>
      <w:pPr>
        <w:pStyle w:val="Heading3"/>
        <w:keepNext/>
      </w:pPr>
      <w:bookmarkStart w:id="28" w:name="where-does-solvai-fail"/>
      <w:r>
        <w:t xml:space="preserve">Where does SolvAI fail?</w:t>
      </w:r>
      <w:bookmarkEnd w:id="28"/>
    </w:p>
    <w:p>
      <w:pPr>
        <w:pStyle w:val="FirstParagraph"/>
      </w:pPr>
      <w:r>
        <w:t xml:space="preserve">The largest frozen errors are methane (</w:t>
      </w:r>
      <w:r>
        <w:rPr>
          <w:b/>
        </w:rPr>
        <w:t xml:space="preserve">1.102</w:t>
      </w:r>
      <w:r>
        <w:t xml:space="preserve">), tert-butanol (</w:t>
      </w:r>
      <w:r>
        <w:rPr>
          <w:b/>
        </w:rPr>
        <w:t xml:space="preserve">1.052</w:t>
      </w:r>
      <w:r>
        <w:t xml:space="preserve">),</w:t>
      </w:r>
      <w:r>
        <w:t xml:space="preserve"> </w:t>
      </w:r>
      <w:r>
        <w:t xml:space="preserve">N-methylacetamide (</w:t>
      </w:r>
      <w:r>
        <w:rPr>
          <w:b/>
        </w:rPr>
        <w:t xml:space="preserve">1.040</w:t>
      </w:r>
      <w:r>
        <w:t xml:space="preserve">), m-cresol (</w:t>
      </w:r>
      <w:r>
        <w:rPr>
          <w:b/>
        </w:rPr>
        <w:t xml:space="preserve">0.810</w:t>
      </w:r>
      <w:r>
        <w:t xml:space="preserve">), tetracene (</w:t>
      </w:r>
      <w:r>
        <w:rPr>
          <w:b/>
        </w:rPr>
        <w:t xml:space="preserve">0.754</w:t>
      </w:r>
      <w:r>
        <w:t xml:space="preserve">),</w:t>
      </w:r>
      <w:r>
        <w:t xml:space="preserve"> </w:t>
      </w:r>
      <w:r>
        <w:t xml:space="preserve">dimethoxyethane (</w:t>
      </w:r>
      <w:r>
        <w:rPr>
          <w:b/>
        </w:rPr>
        <w:t xml:space="preserve">0.723</w:t>
      </w:r>
      <w:r>
        <w:t xml:space="preserve">), pyrene (</w:t>
      </w:r>
      <w:r>
        <w:rPr>
          <w:b/>
        </w:rPr>
        <w:t xml:space="preserve">0.717</w:t>
      </w:r>
      <w:r>
        <w:t xml:space="preserve">) and dimethylacetamide (</w:t>
      </w:r>
      <w:r>
        <w:rPr>
          <w:b/>
        </w:rPr>
        <w:t xml:space="preserve">0.700</w:t>
      </w:r>
      <w:r>
        <w:t xml:space="preserve">)</w:t>
      </w:r>
      <w:r>
        <w:t xml:space="preserve"> </w:t>
      </w:r>
      <w:r>
        <w:t xml:space="preserve">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. Amides and larger/conjugated aromatics are represented among the</w:t>
      </w:r>
      <w:r>
        <w:t xml:space="preserve"> </w:t>
      </w:r>
      <w:r>
        <w:t xml:space="preserve">hard cases, but they are not the whole pattern: methane and tert-butanol are the two</w:t>
      </w:r>
      <w:r>
        <w:t xml:space="preserve"> </w:t>
      </w:r>
      <w:r>
        <w:t xml:space="preserve">largest misses, and amides/aromatics improve on average relative to structure only.</w:t>
      </w:r>
      <w:r>
        <w:t xml:space="preserve"> </w:t>
      </w:r>
      <w:r>
        <w:t xml:space="preserve">Of nine SolvAI errors at least 0.5 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, only m-cresol is also a</w:t>
      </w:r>
      <w:r>
        <w:t xml:space="preserve"> </w:t>
      </w:r>
      <w:r>
        <w:t xml:space="preserve">PIMD8 error above that threshold, so most are SolvAI-specific rather than universally</w:t>
      </w:r>
      <w:r>
        <w:t xml:space="preserve"> </w:t>
      </w:r>
      <w:r>
        <w:t xml:space="preserve">hard reference molecules.</w:t>
      </w:r>
    </w:p>
    <w:p>
      <w:pPr>
        <w:pStyle w:val="Heading3"/>
        <w:keepNext/>
      </w:pPr>
      <w:bookmarkStart w:id="29" w:name="Xf306a6f11d59395cfe79b9d40ee1440950c8db4"/>
      <w:r>
        <w:t xml:space="preserve">Are there already methods doing something similar?</w:t>
      </w:r>
      <w:bookmarkEnd w:id="29"/>
    </w:p>
    <w:p>
      <w:pPr>
        <w:pStyle w:val="FirstParagraph"/>
      </w:pPr>
      <w:r>
        <w:rPr>
          <w:b/>
        </w:rPr>
        <w:t xml:space="preserve">Yes, for important parts of the idea.</w:t>
      </w:r>
      <w:r>
        <w:t xml:space="preserve"> </w:t>
      </w:r>
      <w:r>
        <w:t xml:space="preserve">Prior work includes computed-to-experimental</w:t>
      </w:r>
      <w:r>
        <w:t xml:space="preserve"> </w:t>
      </w:r>
      <w:r>
        <w:t xml:space="preserve">transfer, two-stage hydration models, per-query physical representations such as</w:t>
      </w:r>
      <w:r>
        <w:t xml:space="preserve"> </w:t>
      </w:r>
      <w:r>
        <w:t xml:space="preserve">ML-PCM, ImPerHam and 3D-RISM, and surrogate-predicted QM descriptors. SolvAI is not</w:t>
      </w:r>
      <w:r>
        <w:t xml:space="preserve"> </w:t>
      </w:r>
      <w:r>
        <w:t xml:space="preserve">claimed as the first two-stage or predicted-descriptor model. Its supported</w:t>
      </w:r>
      <w:r>
        <w:t xml:space="preserve"> </w:t>
      </w:r>
      <w:r>
        <w:t xml:space="preserve">distinction is the controlled use of a benchmark-disjoint, multi-source</w:t>
      </w:r>
      <w:r>
        <w:t xml:space="preserve"> </w:t>
      </w:r>
      <w:r>
        <w:t xml:space="preserve">solvent-response layer whose value survives matched removal, molecule-wise shuffling,</w:t>
      </w:r>
      <w:r>
        <w:t xml:space="preserve"> </w:t>
      </w:r>
      <w:r>
        <w:t xml:space="preserve">repeated partitions, global chemical separation and zero-ARROW-label transfer, while</w:t>
      </w:r>
      <w:r>
        <w:t xml:space="preserve"> </w:t>
      </w:r>
      <w:r>
        <w:t xml:space="preserve">the originating calculations are absent at inference. PIMD8 is the accuracy</w:t>
      </w:r>
      <w:r>
        <w:t xml:space="preserve"> </w:t>
      </w:r>
      <w:r>
        <w:t xml:space="preserve">comparator, not a retained teacher.</w:t>
      </w:r>
    </w:p>
    <w:p>
      <w:pPr>
        <w:pStyle w:val="Heading2"/>
        <w:keepNext/>
      </w:pPr>
      <w:bookmarkStart w:id="30" w:name="identity-coverage-and-applicability-a"/>
      <w:r>
        <w:t xml:space="preserve">1. Identity, coverage and applicability — A</w:t>
      </w:r>
      <w:bookmarkEnd w:id="30"/>
    </w:p>
    <w:p>
      <w:pPr>
        <w:pStyle w:val="Heading3"/>
        <w:keepNext/>
      </w:pPr>
      <w:bookmarkStart w:id="31" w:name="question"/>
      <w:r>
        <w:t xml:space="preserve">Question</w:t>
      </w:r>
      <w:bookmarkEnd w:id="31"/>
    </w:p>
    <w:p>
      <w:pPr>
        <w:pStyle w:val="FirstParagraph"/>
      </w:pPr>
      <w:r>
        <w:t xml:space="preserve">Could common ARROW molecules have appeared under another identity in an external</w:t>
      </w:r>
      <w:r>
        <w:t xml:space="preserve"> </w:t>
      </w:r>
      <w:r>
        <w:t xml:space="preserve">endpoint or teacher dataset, and does incomplete source coverage prevent SolvAI from</w:t>
      </w:r>
      <w:r>
        <w:t xml:space="preserve"> </w:t>
      </w:r>
      <w:r>
        <w:t xml:space="preserve">predicting some new molecules?</w:t>
      </w:r>
    </w:p>
    <w:p>
      <w:pPr>
        <w:pStyle w:val="Heading3"/>
        <w:keepNext/>
      </w:pPr>
      <w:bookmarkStart w:id="32" w:name="why-it-matters"/>
      <w:r>
        <w:t xml:space="preserve">Why it matters</w:t>
      </w:r>
      <w:bookmarkEnd w:id="32"/>
    </w:p>
    <w:p>
      <w:pPr>
        <w:pStyle w:val="FirstParagraph"/>
      </w:pPr>
      <w:r>
        <w:t xml:space="preserve">This tests both label leakage and a separate deployment concern. Leakage asks</w:t>
      </w:r>
      <w:r>
        <w:t xml:space="preserve"> </w:t>
      </w:r>
      <w:r>
        <w:t xml:space="preserve">whether a held-out ARROW molecule supplied supervised information to either learning</w:t>
      </w:r>
      <w:r>
        <w:t xml:space="preserve"> </w:t>
      </w:r>
      <w:r>
        <w:t xml:space="preserve">stage. Coverage asks whether inference requires finding the query molecule in every</w:t>
      </w:r>
      <w:r>
        <w:t xml:space="preserve"> </w:t>
      </w:r>
      <w:r>
        <w:t xml:space="preserve">teacher’s original source table.</w:t>
      </w:r>
    </w:p>
    <w:p>
      <w:pPr>
        <w:pStyle w:val="Heading3"/>
        <w:keepNext/>
      </w:pPr>
      <w:bookmarkStart w:id="33" w:name="existing-evidence"/>
      <w:r>
        <w:t xml:space="preserve">Existing evidence</w:t>
      </w:r>
      <w:bookmarkEnd w:id="33"/>
    </w:p>
    <w:p>
      <w:pPr>
        <w:pStyle w:val="FirstParagraph"/>
      </w:pPr>
      <w:r>
        <w:t xml:space="preserve">The final audit applies canonical isomeric SMILES, full InChIKey and the first</w:t>
      </w:r>
      <w:r>
        <w:t xml:space="preserve"> </w:t>
      </w:r>
      <w:r>
        <w:t xml:space="preserve">InChIKey block, followed by fragment-parent, uncharged-parent and canonical-tautomer</w:t>
      </w:r>
      <w:r>
        <w:t xml:space="preserve"> </w:t>
      </w:r>
      <w:r>
        <w:t xml:space="preserve">standardization. The 1,280-label endpoint pool contains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ARROW matches under</w:t>
      </w:r>
      <w:r>
        <w:t xml:space="preserve"> </w:t>
      </w:r>
      <w:r>
        <w:t xml:space="preserve">all of those definitions. This is important because</w:t>
      </w:r>
      <w:r>
        <w:t xml:space="preserve"> </w:t>
      </w:r>
      <w:r>
        <w:rPr>
          <w:b/>
        </w:rPr>
        <w:t xml:space="preserve">80 of the 85</w:t>
      </w:r>
      <w:r>
        <w:t xml:space="preserve"> </w:t>
      </w:r>
      <w:r>
        <w:t xml:space="preserve">ARROW</w:t>
      </w:r>
      <w:r>
        <w:t xml:space="preserve"> </w:t>
      </w:r>
      <w:r>
        <w:t xml:space="preserve">connectivities occur in FreeSolv; those identities were excluded rather than treated</w:t>
      </w:r>
      <w:r>
        <w:t xml:space="preserve"> </w:t>
      </w:r>
      <w:r>
        <w:t xml:space="preserve">as external endpoint labels.</w:t>
      </w:r>
    </w:p>
    <w:p>
      <w:pPr>
        <w:pStyle w:val="BodyText"/>
      </w:pPr>
      <w:r>
        <w:t xml:space="preserve">The original connectivity filter removed the following source records before</w:t>
      </w:r>
      <w:r>
        <w:t xml:space="preserve"> </w:t>
      </w:r>
      <w:r>
        <w:t xml:space="preserve">teacher fitting:</w:t>
      </w:r>
    </w:p>
    <w:tbl>
      <w:tblPr>
        <w:tblStyle w:val="LightShading-Accent1"/>
        <w:tblW w:type="pct" w:w="5000.0"/>
        <w:tblLayout w:type="fixed"/>
        <w:tblLook w:firstRow="1"/>
      </w:tblPr>
      <w:tblGrid>
        <w:gridCol w:w="2948"/>
        <w:gridCol w:w="4025"/>
        <w:gridCol w:w="2665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2948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Teacher source</w:t>
            </w:r>
          </w:p>
        </w:tc>
        <w:tc>
          <w:tcPr>
            <w:tcW w:type="dxa" w:w="4025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After exact filter, before standardized refit</w:t>
            </w:r>
          </w:p>
        </w:tc>
        <w:tc>
          <w:tcPr>
            <w:tcW w:type="dxa" w:w="2665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Exact ARROW overlaps removed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CombiSolv-QM water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3,963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25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SoluteML Abraham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8,098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84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OpenFF explicit-water ASFE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520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83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GBn2 implicit solvent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550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MolSolv SMD(water)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350,391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82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ConfSolv H2O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39,878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13</w:t>
            </w:r>
          </w:p>
        </w:tc>
      </w:tr>
    </w:tbl>
    <w:p>
      <w:pPr>
        <w:pStyle w:val="BodyText"/>
      </w:pPr>
      <w:r>
        <w:t xml:space="preserve">The expanded equivalence audit then found records missed by exact connectivity:</w:t>
      </w:r>
      <w:r>
        <w:t xml:space="preserve"> </w:t>
      </w:r>
      <w:r>
        <w:rPr>
          <w:b/>
        </w:rPr>
        <w:t xml:space="preserve">2 CombiSolv-QM</w:t>
      </w:r>
      <w:r>
        <w:t xml:space="preserve">,</w:t>
      </w:r>
      <w:r>
        <w:t xml:space="preserve"> </w:t>
      </w:r>
      <w:r>
        <w:rPr>
          <w:b/>
        </w:rPr>
        <w:t xml:space="preserve">32 MolSolv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22 ConfSolv</w:t>
      </w:r>
      <w:r>
        <w:t xml:space="preserve"> </w:t>
      </w:r>
      <w:r>
        <w:t xml:space="preserve">rows. Each was removed, the</w:t>
      </w:r>
      <w:r>
        <w:t xml:space="preserve"> </w:t>
      </w:r>
      <w:r>
        <w:t xml:space="preserve">three teachers were refitted while preserving all remaining source split membership,</w:t>
      </w:r>
      <w:r>
        <w:t xml:space="preserve"> </w:t>
      </w:r>
      <w:r>
        <w:t xml:space="preserve">and the complete endpoint, repeat, shuffled-prior and chemical-separation analyses</w:t>
      </w:r>
      <w:r>
        <w:t xml:space="preserve"> </w:t>
      </w:r>
      <w:r>
        <w:t xml:space="preserve">were rerun. Verification passed. No standardized-equivalent endpoint row remained.</w:t>
      </w:r>
      <w:r>
        <w:t xml:space="preserve"> </w:t>
      </w:r>
      <w:r>
        <w:t xml:space="preserve">The final fixed teacher splits contain 3,959 CombiSolv-QM rows and 350,359 MolSolv</w:t>
      </w:r>
      <w:r>
        <w:t xml:space="preserve"> </w:t>
      </w:r>
      <w:r>
        <w:t xml:space="preserve">rows; the selected complete-target ConfSolv fitting table contains 17,829 rows.</w:t>
      </w:r>
      <w:r>
        <w:t xml:space="preserve"> </w:t>
      </w:r>
      <w:r>
        <w:t xml:space="preserve">Morgan-similarity-1 collisions between different connectivities were retained as</w:t>
      </w:r>
      <w:r>
        <w:t xml:space="preserve"> </w:t>
      </w:r>
      <w:r>
        <w:t xml:space="preserve">fingerprint collisions and explicitly listed; they were not relabelled as identities</w:t>
      </w:r>
      <w:r>
        <w:t xml:space="preserve"> </w:t>
      </w:r>
      <w:r>
        <w:t xml:space="preserve">or silently removed.</w:t>
      </w:r>
    </w:p>
    <w:p>
      <w:pPr>
        <w:pStyle w:val="BodyText"/>
      </w:pPr>
      <w:r>
        <w:t xml:space="preserve">Primary records are</w:t>
      </w:r>
      <w:r>
        <w:t xml:space="preserve"> </w:t>
      </w:r>
      <w:hyperlink r:id="rId34">
        <w:r>
          <w:rPr>
            <w:rStyle w:val="Hyperlink"/>
          </w:rPr>
          <w:t xml:space="preserve">audits/leakage_audit.md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audits/confirmatory/standardized_exclusion_records.csv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audits/confirmatory/standardized_exclusion_refit_verification.json</w:t>
        </w:r>
      </w:hyperlink>
      <w:r>
        <w:t xml:space="preserve">, and</w:t>
      </w:r>
      <w:r>
        <w:t xml:space="preserve"> </w:t>
      </w:r>
      <w:hyperlink r:id="rId37">
        <w:r>
          <w:rPr>
            <w:rStyle w:val="Hyperlink"/>
          </w:rPr>
          <w:t xml:space="preserve">audits/confirmatory/chemical_identity_matches.csv</w:t>
        </w:r>
      </w:hyperlink>
      <w:r>
        <w:t xml:space="preserve">.</w:t>
      </w:r>
    </w:p>
    <w:p>
      <w:pPr>
        <w:pStyle w:val="Heading3"/>
        <w:keepNext/>
      </w:pPr>
      <w:bookmarkStart w:id="38" w:name="coverage-at-inference"/>
      <w:r>
        <w:t xml:space="preserve">Coverage at inference</w:t>
      </w:r>
      <w:bookmarkEnd w:id="38"/>
    </w:p>
    <w:p>
      <w:pPr>
        <w:pStyle w:val="FirstParagraph"/>
      </w:pPr>
      <w:r>
        <w:t xml:space="preserve">Source coverage is used to</w:t>
      </w:r>
      <w:r>
        <w:t xml:space="preserve"> </w:t>
      </w:r>
      <w:r>
        <w:rPr>
          <w:b/>
        </w:rPr>
        <w:t xml:space="preserve">fit</w:t>
      </w:r>
      <w:r>
        <w:t xml:space="preserve"> </w:t>
      </w:r>
      <w:r>
        <w:t xml:space="preserve">a response surrogate; it is not a database lookup</w:t>
      </w:r>
      <w:r>
        <w:t xml:space="preserve"> </w:t>
      </w:r>
      <w:r>
        <w:t xml:space="preserve">at deployment. For a new parseable SMILES, SolvAI computes Morgan/RDKit structure</w:t>
      </w:r>
      <w:r>
        <w:t xml:space="preserve"> </w:t>
      </w:r>
      <w:r>
        <w:t xml:space="preserve">features, runs each frozen structure-to-response model and obtains all 15 response</w:t>
      </w:r>
      <w:r>
        <w:t xml:space="preserve"> </w:t>
      </w:r>
      <w:r>
        <w:t xml:space="preserve">coordinates. The query therefore need not occur in MolSolv, ConfSolv, CombiSolv or</w:t>
      </w:r>
      <w:r>
        <w:t xml:space="preserve"> </w:t>
      </w:r>
      <w:r>
        <w:t xml:space="preserve">another teacher table. The final artifact contains no source-coverage gate.</w:t>
      </w:r>
    </w:p>
    <w:p>
      <w:pPr>
        <w:pStyle w:val="BodyText"/>
      </w:pPr>
      <w:r>
        <w:t xml:space="preserve">This computational ability is not evidence of unrestricted chemical validity. The</w:t>
      </w:r>
      <w:r>
        <w:t xml:space="preserve"> </w:t>
      </w:r>
      <w:r>
        <w:t xml:space="preserve">validated domain is neutral, predominantly small organic hydration chemistry similar</w:t>
      </w:r>
      <w:r>
        <w:t xml:space="preserve"> </w:t>
      </w:r>
      <w:r>
        <w:t xml:space="preserve">to the source and reference domains. Ions, salts, metals, biomacromolecules, ambiguous</w:t>
      </w:r>
      <w:r>
        <w:t xml:space="preserve"> </w:t>
      </w:r>
      <w:r>
        <w:t xml:space="preserve">aqueous microstates and substantially larger or chemically remote molecules are not</w:t>
      </w:r>
      <w:r>
        <w:t xml:space="preserve"> </w:t>
      </w:r>
      <w:r>
        <w:t xml:space="preserve">validated merely because RDKit can parse their SMILES.</w:t>
      </w:r>
    </w:p>
    <w:p>
      <w:pPr>
        <w:pStyle w:val="Heading3"/>
        <w:keepNext/>
      </w:pPr>
      <w:bookmarkStart w:id="39" w:name="answer-and-manuscript-implication"/>
      <w:r>
        <w:t xml:space="preserve">Answer and manuscript implication</w:t>
      </w:r>
      <w:bookmarkEnd w:id="39"/>
    </w:p>
    <w:p>
      <w:pPr>
        <w:pStyle w:val="FirstParagraph"/>
      </w:pPr>
      <w:r>
        <w:t xml:space="preserve">The common-molecule concern is answered: supervised ARROW identity overlap is zero</w:t>
      </w:r>
      <w:r>
        <w:t xml:space="preserve"> </w:t>
      </w:r>
      <w:r>
        <w:t xml:space="preserve">under the final conservative policy. The coverage concern should be explained with</w:t>
      </w:r>
      <w:r>
        <w:t xml:space="preserve"> </w:t>
      </w:r>
      <w:r>
        <w:t xml:space="preserve">one sentence distinguishing teacher training coverage from inference availability,</w:t>
      </w:r>
      <w:r>
        <w:t xml:space="preserve"> </w:t>
      </w:r>
      <w:r>
        <w:t xml:space="preserve">followed by the domain limitation.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Supplement / Methods. No new run and no main-text expansion are</w:t>
      </w:r>
      <w:r>
        <w:t xml:space="preserve"> </w:t>
      </w:r>
      <w:r>
        <w:t xml:space="preserve">needed.</w:t>
      </w:r>
    </w:p>
    <w:p>
      <w:pPr>
        <w:pStyle w:val="Heading2"/>
        <w:keepNext/>
      </w:pPr>
      <w:bookmarkStart w:id="40" w:name="which-response-sources-matter-b"/>
      <w:r>
        <w:t xml:space="preserve">2. Which response sources matter? — B</w:t>
      </w:r>
      <w:bookmarkEnd w:id="40"/>
    </w:p>
    <w:p>
      <w:pPr>
        <w:pStyle w:val="Heading3"/>
        <w:keepNext/>
      </w:pPr>
      <w:bookmarkStart w:id="41" w:name="question-1"/>
      <w:r>
        <w:t xml:space="preserve">Question</w:t>
      </w:r>
      <w:bookmarkEnd w:id="41"/>
    </w:p>
    <w:p>
      <w:pPr>
        <w:pStyle w:val="FirstParagraph"/>
      </w:pPr>
      <w:r>
        <w:t xml:space="preserve">Which physical-response sources most influence the endpoint, and is one teacher</w:t>
      </w:r>
      <w:r>
        <w:t xml:space="preserve"> </w:t>
      </w:r>
      <w:r>
        <w:t xml:space="preserve">responsible for the result?</w:t>
      </w:r>
    </w:p>
    <w:p>
      <w:pPr>
        <w:pStyle w:val="Heading3"/>
        <w:keepNext/>
      </w:pPr>
      <w:bookmarkStart w:id="42" w:name="why-it-matters-1"/>
      <w:r>
        <w:t xml:space="preserve">Why it matters</w:t>
      </w:r>
      <w:bookmarkEnd w:id="42"/>
    </w:p>
    <w:p>
      <w:pPr>
        <w:pStyle w:val="FirstParagraph"/>
      </w:pPr>
      <w:r>
        <w:t xml:space="preserve">This asks four different questions that should not be conflated: how accurately a</w:t>
      </w:r>
      <w:r>
        <w:t xml:space="preserve"> </w:t>
      </w:r>
      <w:r>
        <w:t xml:space="preserve">surrogate predicts its own source target; what a block contributes by itself; what it</w:t>
      </w:r>
      <w:r>
        <w:t xml:space="preserve"> </w:t>
      </w:r>
      <w:r>
        <w:t xml:space="preserve">adds conditional on other priors; and whether apparently useful sources are</w:t>
      </w:r>
      <w:r>
        <w:t xml:space="preserve"> </w:t>
      </w:r>
      <w:r>
        <w:t xml:space="preserve">redundant.</w:t>
      </w:r>
    </w:p>
    <w:p>
      <w:pPr>
        <w:pStyle w:val="Heading3"/>
        <w:keepNext/>
      </w:pPr>
      <w:bookmarkStart w:id="43" w:name="frozen-output-analysis"/>
      <w:r>
        <w:t xml:space="preserve">Frozen-output analysis</w:t>
      </w:r>
      <w:bookmarkEnd w:id="43"/>
    </w:p>
    <w:p>
      <w:pPr>
        <w:pStyle w:val="FirstParagraph"/>
      </w:pPr>
      <w:r>
        <w:t xml:space="preserve">The frozen matched block results were consolidated and paired molecule bootstrap</w:t>
      </w:r>
      <w:r>
        <w:t xml:space="preserve"> </w:t>
      </w:r>
      <w:r>
        <w:t xml:space="preserve">intervals were recomputed without fitting or selecting a model. The blocks are</w:t>
      </w:r>
      <w:r>
        <w:t xml:space="preserve"> </w:t>
      </w:r>
      <w:r>
        <w:t xml:space="preserve">predeclared scientific ablations, not an additive variance decomposition.</w:t>
      </w:r>
    </w:p>
    <w:tbl>
      <w:tblPr>
        <w:tblStyle w:val="LightShading-Accent1"/>
        <w:tblW w:type="pct" w:w="4999.999999999999"/>
        <w:tblLayout w:type="fixed"/>
        <w:tblLook w:firstRow="1"/>
      </w:tblPr>
      <w:tblGrid>
        <w:gridCol w:w="3005"/>
        <w:gridCol w:w="737"/>
        <w:gridCol w:w="2041"/>
        <w:gridCol w:w="1928"/>
        <w:gridCol w:w="1928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3005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Endpoint input beyond structure</w:t>
            </w:r>
          </w:p>
        </w:tc>
        <w:tc>
          <w:tcPr>
            <w:tcW w:type="dxa" w:w="737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MAE</w:t>
            </w:r>
          </w:p>
        </w:tc>
        <w:tc>
          <w:tcPr>
            <w:tcW w:type="dxa" w:w="204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Change from 0.303 structure baseline</w:t>
            </w:r>
          </w:p>
        </w:tc>
        <w:tc>
          <w:tcPr>
            <w:tcW w:type="dxa" w:w="1928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95% paired interval</w:t>
            </w:r>
          </w:p>
        </w:tc>
        <w:tc>
          <w:tcPr>
            <w:tcW w:type="dxa" w:w="1928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 xml:space="preserve">Interpretation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Empirical/residual-corrected: Abraham + corrected OpenFF/GBn2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0.243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-0.061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[-0.108, -0.022]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Strongest isolated block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Computation-derived core: CombiSolv-QM + raw OpenFF/GBn2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0.253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-0.051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[-0.144, 0.029]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Lower point estimate; interval crosses zero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SMD(water) alone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0.253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-0.050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[-0.128, 0.006]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Lower point estimate; interval crosses zero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ConfSolv six-response block alone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0.299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-0.004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[-0.014, 0.004]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Neutral alone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Narrow cumulative stack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0.212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-0.092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[-0.183, -0.019]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Most of the full gain is already present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Narrow stack + SMD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0.207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-0.097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[-0.209, -0.016]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Best point improves by 0.005 over narrow</w:t>
            </w:r>
          </w:p>
        </w:tc>
      </w:tr>
      <w:tr>
        <w:trPr>
          <w:cantSplit/>
          <w:trHeight w:hRule="atLeast"/>
        </w:trP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Full 15-prior SolvAI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0.202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-0.101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[-0.215, -0.020]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5"/>
              </w:rPr>
              <w:t xml:space="preserve">Best predeclared point estimate</w:t>
            </w:r>
          </w:p>
        </w:tc>
      </w:tr>
    </w:tbl>
    <w:p>
      <w:pPr>
        <w:pStyle w:val="BodyText"/>
      </w:pPr>
      <w:r>
        <w:t xml:space="preserve">The incremental SMD change relative to the narrow stack is -0.005 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a paired interval of [-0.032, 0.015]. Adding ConfSolv after that changes MAE by</w:t>
      </w:r>
      <w:r>
        <w:t xml:space="preserve"> </w:t>
      </w:r>
      <w:r>
        <w:t xml:space="preserve">-0.004, interval [-0.010, 0.002]. Thus the endpoint data do not resolve either small</w:t>
      </w:r>
      <w:r>
        <w:t xml:space="preserve"> </w:t>
      </w:r>
      <w:r>
        <w:t xml:space="preserve">conditional increment separately. They support a large effect for the response layer</w:t>
      </w:r>
      <w:r>
        <w:t xml:space="preserve"> </w:t>
      </w:r>
      <w:r>
        <w:t xml:space="preserve">as a whole and for the narrow block, not a causal ranking of every teacher.</w:t>
      </w:r>
    </w:p>
    <w:p>
      <w:pPr>
        <w:pStyle w:val="BodyText"/>
      </w:pPr>
      <w:r>
        <w:t xml:space="preserve">The destructive control is decisive: aligned full priors give</w:t>
      </w:r>
      <w:r>
        <w:t xml:space="preserve"> </w:t>
      </w:r>
      <w:r>
        <w:rPr>
          <w:b/>
        </w:rPr>
        <w:t xml:space="preserve">0.202</w:t>
      </w:r>
      <w:r>
        <w:t xml:space="preserve"> </w:t>
      </w:r>
      <w:r>
        <w:t xml:space="preserve">MAE, whereas</w:t>
      </w:r>
      <w:r>
        <w:t xml:space="preserve"> </w:t>
      </w:r>
      <w:r>
        <w:t xml:space="preserve">five molecule-wise shuffled versions average</w:t>
      </w:r>
      <w:r>
        <w:t xml:space="preserve"> </w:t>
      </w:r>
      <w:r>
        <w:rPr>
          <w:b/>
        </w:rPr>
        <w:t xml:space="preserve">0.307</w:t>
      </w:r>
      <w:r>
        <w:t xml:space="preserve">, close to structure only.</w:t>
      </w:r>
      <w:r>
        <w:t xml:space="preserve"> </w:t>
      </w:r>
      <w:r>
        <w:t xml:space="preserve">Across five frozen partitions, structure only is</w:t>
      </w:r>
      <w:r>
        <w:t xml:space="preserve"> </w:t>
      </w:r>
      <w:r>
        <w:rPr>
          <w:b/>
        </w:rPr>
        <w:t xml:space="preserve">0.313 ± 0.004</w:t>
      </w:r>
      <w:r>
        <w:t xml:space="preserve"> </w:t>
      </w:r>
      <w:r>
        <w:t xml:space="preserve">and full SolvAI is</w:t>
      </w:r>
      <w:r>
        <w:t xml:space="preserve"> </w:t>
      </w:r>
      <w:r>
        <w:rPr>
          <w:b/>
        </w:rPr>
        <w:t xml:space="preserve">0.207 ± 0.004</w:t>
      </w:r>
      <w:r>
        <w:t xml:space="preserve"> </w:t>
      </w:r>
      <w:r>
        <w:t xml:space="preserve">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, with full SolvAI better on every partition.</w:t>
      </w:r>
    </w:p>
    <w:p>
      <w:pPr>
        <w:pStyle w:val="Heading3"/>
        <w:keepNext/>
      </w:pPr>
      <w:bookmarkStart w:id="44" w:name="teacher-fidelity-is-a-different-quantity"/>
      <w:r>
        <w:t xml:space="preserve">Teacher fidelity is a different quantity</w:t>
      </w:r>
      <w:bookmarkEnd w:id="44"/>
    </w:p>
    <w:tbl>
      <w:tblPr>
        <w:tblStyle w:val="LightShading-Accent1"/>
        <w:tblW w:type="pct" w:w="5000.0"/>
        <w:tblLayout w:type="fixed"/>
        <w:tblLook w:firstRow="1"/>
      </w:tblPr>
      <w:tblGrid>
        <w:gridCol w:w="2835"/>
        <w:gridCol w:w="6803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2835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Source</w:t>
            </w:r>
          </w:p>
        </w:tc>
        <w:tc>
          <w:tcPr>
            <w:tcW w:type="dxa" w:w="6803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Own-target validation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CombiSolv-QM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0.739 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MAE, fixed source test (n=395)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MolSolv SMD(water)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0.712 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, fixed source test (n=17,520)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Abraham E/S/A/B/L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0.035–0.240 on their distinct Abraham scales, source OOF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OpenFF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0.617 for raw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m:oMath>
              <m:r>
                <m:t>Δ</m:t>
              </m:r>
              <m:r>
                <m:t>G</m:t>
              </m:r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, 0.531 for experimental residual, source OOF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GBn2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0.669 for raw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m:oMath>
              <m:r>
                <m:t>Δ</m:t>
              </m:r>
              <m:r>
                <m:t>G</m:t>
              </m:r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, 0.626 for experimental residual, source OOF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ConfSolv selected targets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0.248–0.688 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, fixed source validation (n=1,785)</w:t>
            </w:r>
          </w:p>
        </w:tc>
      </w:tr>
    </w:tbl>
    <w:p>
      <w:pPr>
        <w:pStyle w:val="BodyText"/>
      </w:pPr>
      <w:r>
        <w:t xml:space="preserve">These numbers differ in units, scale, target variance and validation protocol. They</w:t>
      </w:r>
      <w:r>
        <w:t xml:space="preserve"> </w:t>
      </w:r>
      <w:r>
        <w:t xml:space="preserve">cannot be ranked as if lower teacher MAE implied greater endpoint value. ConfSolv is</w:t>
      </w:r>
      <w:r>
        <w:t xml:space="preserve"> </w:t>
      </w:r>
      <w:r>
        <w:t xml:space="preserve">the clearest counterexample: several targets are predicted accurately on their own</w:t>
      </w:r>
      <w:r>
        <w:t xml:space="preserve"> </w:t>
      </w:r>
      <w:r>
        <w:t xml:space="preserve">scale, yet its isolated endpoint block is neutral.</w:t>
      </w:r>
    </w:p>
    <w:p>
      <w:pPr>
        <w:pStyle w:val="Heading3"/>
        <w:keepNext/>
      </w:pPr>
      <w:bookmarkStart w:id="45" w:name="scientific-interpretation"/>
      <w:r>
        <w:t xml:space="preserve">Scientific interpretation</w:t>
      </w:r>
      <w:bookmarkEnd w:id="45"/>
    </w:p>
    <w:p>
      <w:pPr>
        <w:pStyle w:val="FirstParagraph"/>
      </w:pPr>
      <w:r>
        <w:t xml:space="preserve">The most transferable information is not simply the highest-fidelity calculation.</w:t>
      </w:r>
      <w:r>
        <w:t xml:space="preserve"> </w:t>
      </w:r>
      <w:r>
        <w:t xml:space="preserve">The strongest isolated signal combines empirical solute-response axes with</w:t>
      </w:r>
      <w:r>
        <w:t xml:space="preserve"> </w:t>
      </w:r>
      <w:r>
        <w:t xml:space="preserve">experimental residual corrections to approximate water calculations. Most of the</w:t>
      </w:r>
      <w:r>
        <w:t xml:space="preserve"> </w:t>
      </w:r>
      <w:r>
        <w:t xml:space="preserve">endpoint gain emerges from a compact, mixed response vocabulary; SMD and ConfSolv</w:t>
      </w:r>
      <w:r>
        <w:t xml:space="preserve"> </w:t>
      </w:r>
      <w:r>
        <w:t xml:space="preserve">then provide small, statistically unresolved conditional refinements. This supports</w:t>
      </w:r>
      <w:r>
        <w:t xml:space="preserve"> </w:t>
      </w:r>
      <w:r>
        <w:rPr>
          <w:b/>
        </w:rPr>
        <w:t xml:space="preserve">relevance + structure-learnability + complementarity</w:t>
      </w:r>
      <w:r>
        <w:t xml:space="preserve">, not a claim that one source</w:t>
      </w:r>
      <w:r>
        <w:t xml:space="preserve"> </w:t>
      </w:r>
      <w:r>
        <w:t xml:space="preserve">dominates.</w:t>
      </w:r>
    </w:p>
    <w:p>
      <w:pPr>
        <w:pStyle w:val="BodyText"/>
      </w:pPr>
      <w:r>
        <w:t xml:space="preserve">Machine-readable results are</w:t>
      </w:r>
      <w:r>
        <w:t xml:space="preserve"> </w:t>
      </w:r>
      <w:hyperlink r:id="rId46">
        <w:r>
          <w:rPr>
            <w:rStyle w:val="Hyperlink"/>
          </w:rPr>
          <w:t xml:space="preserve">results/followup_audit/source_block_summary.csv</w:t>
        </w:r>
      </w:hyperlink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results/followup_audit/teacher_fidelity_summary.csv</w:t>
        </w:r>
      </w:hyperlink>
      <w:r>
        <w:t xml:space="preserve">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show the matched block result and shuffled control in the main</w:t>
      </w:r>
      <w:r>
        <w:t xml:space="preserve"> </w:t>
      </w:r>
      <w:r>
        <w:t xml:space="preserve">paper; place full teacher-fidelity detail in Supplementary Information. Do not show a</w:t>
      </w:r>
      <w:r>
        <w:t xml:space="preserve"> </w:t>
      </w:r>
      <w:r>
        <w:t xml:space="preserve">raw tree-importance ranking as causal evidence.</w:t>
      </w:r>
    </w:p>
    <w:p>
      <w:pPr>
        <w:pStyle w:val="Heading2"/>
        <w:keepNext/>
      </w:pPr>
      <w:bookmarkStart w:id="48" w:name="X6090663a71853a1c5052b56258b638b55942ae0"/>
      <w:r>
        <w:t xml:space="preserve">2a. What exactly are the 15 learned response values? — A</w:t>
      </w:r>
      <w:bookmarkEnd w:id="48"/>
    </w:p>
    <w:p>
      <w:pPr>
        <w:pStyle w:val="Heading3"/>
        <w:keepNext/>
      </w:pPr>
      <w:bookmarkStart w:id="49" w:name="question-2"/>
      <w:r>
        <w:t xml:space="preserve">Question</w:t>
      </w:r>
      <w:bookmarkEnd w:id="49"/>
    </w:p>
    <w:p>
      <w:pPr>
        <w:pStyle w:val="FirstParagraph"/>
      </w:pPr>
      <w:r>
        <w:t xml:space="preserve">What physical or physicochemical quantity does each response teacher predict?</w:t>
      </w:r>
    </w:p>
    <w:p>
      <w:pPr>
        <w:pStyle w:val="Heading3"/>
        <w:keepNext/>
      </w:pPr>
      <w:bookmarkStart w:id="50" w:name="answer"/>
      <w:r>
        <w:t xml:space="preserve">Answer</w:t>
      </w:r>
      <w:bookmarkEnd w:id="50"/>
    </w:p>
    <w:p>
      <w:pPr>
        <w:pStyle w:val="FirstParagraph"/>
      </w:pPr>
      <w:r>
        <w:t xml:space="preserve">The 15 values are</w:t>
      </w:r>
      <w:r>
        <w:t xml:space="preserve"> </w:t>
      </w:r>
      <w:r>
        <w:rPr>
          <w:b/>
        </w:rPr>
        <w:t xml:space="preserve">not opaque latent embeddings</w:t>
      </w:r>
      <w:r>
        <w:t xml:space="preserve">. Each is a predefined scalar target</w:t>
      </w:r>
      <w:r>
        <w:t xml:space="preserve"> </w:t>
      </w:r>
      <w:r>
        <w:t xml:space="preserve">with a named interpretation, learned from molecular structure and predicted for a new</w:t>
      </w:r>
      <w:r>
        <w:t xml:space="preserve"> </w:t>
      </w:r>
      <w:r>
        <w:t xml:space="preserve">SMILES by a frozen surrogate:</w:t>
      </w:r>
    </w:p>
    <w:tbl>
      <w:tblPr>
        <w:tblStyle w:val="LightShading-Accent1"/>
        <w:tblW w:type="pct" w:w="5000.0"/>
        <w:tblLayout w:type="fixed"/>
        <w:tblLook w:firstRow="1"/>
      </w:tblPr>
      <w:tblGrid>
        <w:gridCol w:w="1814"/>
        <w:gridCol w:w="2608"/>
        <w:gridCol w:w="5216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181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Intuitive group</w:t>
            </w:r>
          </w:p>
        </w:tc>
        <w:tc>
          <w:tcPr>
            <w:tcW w:type="dxa" w:w="2608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Values</w:t>
            </w:r>
          </w:p>
        </w:tc>
        <w:tc>
          <w:tcPr>
            <w:tcW w:type="dxa" w:w="5216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Meaning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Polarity and hydrogen bonding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5 Abraham axes: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E, S, A, B and L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Excess molar refraction; dipolarity/polarizability; hydrogen-bond acidity; hydrogen-bond basicity; and hexadecane–air partition response. These are empirical physicochemical coordinates, not pure physical observables.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Calculated bulk-water solvation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2: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CombiSolv-QM/COSMOtherm water and MolSolv SMD(water)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Predicted water solvation free energies from two distinct calculated solvation formalisms (kcal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).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Explicit- and implicit-water response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2: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corrected OpenFF and corrected GBn2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Respectively, an explicit-water alchemical and an implicit-solvent hydration prediction, each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plus a separately learned experimental residual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(kcal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); these corrected coordinates are therefore not pure simulation observables.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Conformational water response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202B35"/>
                <w:sz w:val="16"/>
              </w:rPr>
              <w:t xml:space="preserve">6 ConfSolv summaries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Gas conformer correction; solution conformer correction; hydration conformer correction; conformer solvation-energy spread; and the mean and spread of the solvent-induced change in conformer relative energies (all kcal mol</w:t>
            </w:r>
            <m:oMath>
              <m:sSup>
                <m:e>
                  <m:r>
                    <m:t>​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Aptos" w:hAnsi="Aptos" w:eastAsia="Aptos"/>
                <w:color w:val="202B35"/>
                <w:sz w:val="16"/>
              </w:rPr>
              <w:t xml:space="preserve">).</w:t>
            </w:r>
          </w:p>
        </w:tc>
      </w:tr>
    </w:tbl>
    <w:p>
      <w:pPr>
        <w:pStyle w:val="BodyText"/>
      </w:pPr>
      <w:r>
        <w:t xml:space="preserve">Thus the layer is best described as an interpretable mixture of</w:t>
      </w:r>
      <w:r>
        <w:t xml:space="preserve"> </w:t>
      </w:r>
      <w:r>
        <w:rPr>
          <w:b/>
        </w:rPr>
        <w:t xml:space="preserve">empirical,</w:t>
      </w:r>
      <w:r>
        <w:rPr>
          <w:b/>
        </w:rPr>
        <w:t xml:space="preserve"> </w:t>
      </w:r>
      <w:r>
        <w:rPr>
          <w:b/>
        </w:rPr>
        <w:t xml:space="preserve">calculated, residual-corrected and conformational response coordinates</w:t>
      </w:r>
      <w:r>
        <w:t xml:space="preserve">. The exact</w:t>
      </w:r>
      <w:r>
        <w:t xml:space="preserve"> </w:t>
      </w:r>
      <w:r>
        <w:t xml:space="preserve">definitions are frozen in</w:t>
      </w:r>
      <w:r>
        <w:t xml:space="preserve"> </w:t>
      </w:r>
      <w:hyperlink r:id="rId51">
        <w:r>
          <w:rPr>
            <w:rStyle w:val="Hyperlink"/>
          </w:rPr>
          <w:t xml:space="preserve">Supplementary Table 1</w:t>
        </w:r>
      </w:hyperlink>
      <w:r>
        <w:t xml:space="preserve">,</w:t>
      </w:r>
      <w:r>
        <w:t xml:space="preserve"> </w:t>
      </w:r>
      <w:r>
        <w:t xml:space="preserve">and their assembly into the 15-value inference vector is explicit in</w:t>
      </w:r>
      <w:r>
        <w:t xml:space="preserve"> </w:t>
      </w:r>
      <w:hyperlink r:id="rId52">
        <w:r>
          <w:rPr>
            <w:rStyle w:val="VerbatimChar"/>
          </w:rPr>
          <w:t xml:space="preserve">solv_ai/teachers.py</w:t>
        </w:r>
      </w:hyperlink>
      <w:r>
        <w:t xml:space="preserve">.</w:t>
      </w:r>
      <w:r>
        <w:t xml:space="preserve"> </w:t>
      </w:r>
      <w:r>
        <w:t xml:space="preserve">No PIMD, NQE or</w:t>
      </w:r>
      <w:r>
        <w:t xml:space="preserve"> </w:t>
      </w:r>
      <m:oMath>
        <m:r>
          <m:rPr>
            <m:sty m:val="p"/>
          </m:rPr>
          <m:t>d</m:t>
        </m:r>
        <m:r>
          <m:t>H</m:t>
        </m:r>
        <m:r>
          <m:t>/</m:t>
        </m:r>
        <m:r>
          <m:rPr>
            <m:sty m:val="p"/>
          </m:rPr>
          <m:t>d</m:t>
        </m:r>
        <m:r>
          <m:t>λ</m:t>
        </m:r>
      </m:oMath>
      <w:r>
        <w:t xml:space="preserve"> </w:t>
      </w:r>
      <w:r>
        <w:t xml:space="preserve">value is among the retained 15.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collaborator clarification; Supplementary Table 1 already carries</w:t>
      </w:r>
      <w:r>
        <w:t xml:space="preserve"> </w:t>
      </w:r>
      <w:r>
        <w:t xml:space="preserve">the definitive per-coordinate specification. No new analysis or manuscript change is</w:t>
      </w:r>
      <w:r>
        <w:t xml:space="preserve"> </w:t>
      </w:r>
      <w:r>
        <w:t xml:space="preserve">required for this audit.</w:t>
      </w:r>
    </w:p>
    <w:p>
      <w:pPr>
        <w:pStyle w:val="Heading2"/>
        <w:keepNext/>
      </w:pPr>
      <w:bookmarkStart w:id="53" w:name="accuracy-on-a-physical-baseline-scale-b"/>
      <w:r>
        <w:t xml:space="preserve">3. Accuracy on a physical baseline scale — B</w:t>
      </w:r>
      <w:bookmarkEnd w:id="53"/>
    </w:p>
    <w:p>
      <w:pPr>
        <w:pStyle w:val="Heading3"/>
        <w:keepNext/>
      </w:pPr>
      <w:bookmarkStart w:id="54" w:name="question-3"/>
      <w:r>
        <w:t xml:space="preserve">Question</w:t>
      </w:r>
      <w:bookmarkEnd w:id="54"/>
    </w:p>
    <w:p>
      <w:pPr>
        <w:pStyle w:val="FirstParagraph"/>
      </w:pPr>
      <w:r>
        <w:t xml:space="preserve">Can the reader see the physical error scale before SolvAI, including the older</w:t>
      </w:r>
      <w:r>
        <w:t xml:space="preserve"> </w:t>
      </w:r>
      <w:r>
        <w:t xml:space="preserve">approximately 19-parameter solvent-accessible/generalized-Born-style model discussed</w:t>
      </w:r>
      <w:r>
        <w:t xml:space="preserve"> </w:t>
      </w:r>
      <w:r>
        <w:t xml:space="preserve">in the meeting?</w:t>
      </w:r>
    </w:p>
    <w:p>
      <w:pPr>
        <w:pStyle w:val="Heading3"/>
        <w:keepNext/>
      </w:pPr>
      <w:bookmarkStart w:id="55" w:name="existing-evidence-1"/>
      <w:r>
        <w:t xml:space="preserve">Existing evidence</w:t>
      </w:r>
      <w:bookmarkEnd w:id="55"/>
    </w:p>
    <w:p>
      <w:pPr>
        <w:pStyle w:val="FirstParagraph"/>
      </w:pPr>
      <w:r>
        <w:t xml:space="preserve">Two comparisons answer distinct questions: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Causal model comparison:</w:t>
      </w:r>
      <w:r>
        <w:t xml:space="preserve"> </w:t>
      </w:r>
      <w:r>
        <w:t xml:space="preserve">with identical 1,280 external experimental labels,</w:t>
      </w:r>
      <w:r>
        <w:t xml:space="preserve"> </w:t>
      </w:r>
      <w:r>
        <w:t xml:space="preserve">fold-local ARROW labels, weights, Morgan/RDKit representation, ExtraTrees settings,</w:t>
      </w:r>
      <w:r>
        <w:t xml:space="preserve"> </w:t>
      </w:r>
      <w:r>
        <w:t xml:space="preserve">folds and seeds, removing only the priors changes MAE from</w:t>
      </w:r>
      <w:r>
        <w:t xml:space="preserve"> </w:t>
      </w:r>
      <w:r>
        <w:rPr>
          <w:b/>
        </w:rPr>
        <w:t xml:space="preserve">0.202 to 0.303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Physical context on the same 85 solutes:</w:t>
      </w:r>
      <w:r>
        <w:t xml:space="preserve"> </w:t>
      </w:r>
      <w:r>
        <w:t xml:space="preserve">reconstructed classical ARROW is</w:t>
      </w:r>
      <w:r>
        <w:t xml:space="preserve"> </w:t>
      </w:r>
      <w:r>
        <w:rPr>
          <w:b/>
        </w:rPr>
        <w:t xml:space="preserve">0.78465</w:t>
      </w:r>
      <w:r>
        <w:t xml:space="preserve"> </w:t>
      </w:r>
      <w:r>
        <w:t xml:space="preserve">MAE and ARROW/PIMD8 is</w:t>
      </w:r>
      <w:r>
        <w:t xml:space="preserve"> </w:t>
      </w:r>
      <w:r>
        <w:rPr>
          <w:b/>
        </w:rPr>
        <w:t xml:space="preserve">0.20484</w:t>
      </w:r>
      <w:r>
        <w:t xml:space="preserve"> </w:t>
      </w:r>
      <w:r>
        <w:t xml:space="preserve">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frozen source for these values is</w:t>
      </w:r>
      <w:r>
        <w:t xml:space="preserve"> </w:t>
      </w:r>
      <w:hyperlink r:id="rId56">
        <w:r>
          <w:rPr>
            <w:rStyle w:val="Hyperlink"/>
          </w:rPr>
          <w:t xml:space="preserve">results/paper_metrics.json</w:t>
        </w:r>
      </w:hyperlink>
      <w:r>
        <w:t xml:space="preserve">.</w:t>
      </w:r>
    </w:p>
    <w:p>
      <w:pPr>
        <w:pStyle w:val="BodyText"/>
      </w:pPr>
      <w:r>
        <w:t xml:space="preserve">The 0.785 value is useful context for the physical accuracy scale, but it is not a</w:t>
      </w:r>
      <w:r>
        <w:t xml:space="preserve"> </w:t>
      </w:r>
      <w:r>
        <w:t xml:space="preserve">matched ML ablation. Conversely, 0.303 is the correct causal baseline and should not</w:t>
      </w:r>
      <w:r>
        <w:t xml:space="preserve"> </w:t>
      </w:r>
      <w:r>
        <w:t xml:space="preserve">be replaced by a deliberately weak historical model.</w:t>
      </w:r>
    </w:p>
    <w:p>
      <w:pPr>
        <w:pStyle w:val="Heading3"/>
        <w:keepNext/>
      </w:pPr>
      <w:bookmarkStart w:id="57" w:name="audit-of-the-proposed-older-model"/>
      <w:r>
        <w:t xml:space="preserve">Audit of the proposed older model</w:t>
      </w:r>
      <w:bookmarkEnd w:id="57"/>
    </w:p>
    <w:p>
      <w:pPr>
        <w:pStyle w:val="FirstParagraph"/>
      </w:pPr>
      <w:r>
        <w:t xml:space="preserve">The complete release, exploratory workspace and recovered Freecurve repositories</w:t>
      </w:r>
      <w:r>
        <w:t xml:space="preserve"> </w:t>
      </w:r>
      <w:r>
        <w:t xml:space="preserve">were searched for an identifiable 19-parameter implementation, parameter table,</w:t>
      </w:r>
      <w:r>
        <w:t xml:space="preserve"> </w:t>
      </w:r>
      <w:r>
        <w:t xml:space="preserve">atom-typing rules or frozen predictions. None was found. Available materials include</w:t>
      </w:r>
      <w:r>
        <w:t xml:space="preserve"> </w:t>
      </w:r>
      <w:r>
        <w:t xml:space="preserve">generic GBSA implementations, a 562-molecule published GBSA-AMBER table and an</w:t>
      </w:r>
      <w:r>
        <w:t xml:space="preserve"> </w:t>
      </w:r>
      <w:r>
        <w:t xml:space="preserve">exploratory continuum-polarization/SASA teacher. They are not the proposed historical</w:t>
      </w:r>
      <w:r>
        <w:t xml:space="preserve"> </w:t>
      </w:r>
      <w:r>
        <w:t xml:space="preserve">model. The latter was tested only as</w:t>
      </w:r>
      <w:r>
        <w:t xml:space="preserve"> </w:t>
      </w:r>
      <w:r>
        <w:rPr>
          <w:b/>
        </w:rPr>
        <w:t xml:space="preserve">surrogate-predicted features</w:t>
      </w:r>
      <w:r>
        <w:t xml:space="preserve"> </w:t>
      </w:r>
      <w:r>
        <w:t xml:space="preserve">in an earlier,</w:t>
      </w:r>
      <w:r>
        <w:t xml:space="preserve"> </w:t>
      </w:r>
      <w:r>
        <w:t xml:space="preserve">different endpoint pipeline (0.2523 versus a 0.2504 matched direct model); it is not a</w:t>
      </w:r>
      <w:r>
        <w:t xml:space="preserve"> </w:t>
      </w:r>
      <w:r>
        <w:t xml:space="preserve">standalone physical prediction on the current 85-solute evaluation and cannot supply</w:t>
      </w:r>
      <w:r>
        <w:t xml:space="preserve"> </w:t>
      </w:r>
      <w:r>
        <w:t xml:space="preserve">the requested comparator.</w:t>
      </w:r>
    </w:p>
    <w:p>
      <w:pPr>
        <w:pStyle w:val="BodyText"/>
      </w:pPr>
      <w:r>
        <w:t xml:space="preserve">An apples-to-apples reproduction presently lacks the exact citation/model version,</w:t>
      </w:r>
      <w:r>
        <w:t xml:space="preserve"> </w:t>
      </w:r>
      <w:r>
        <w:t xml:space="preserve">19 fitted parameters, atom typing, charge and conformer protocol, standard-state</w:t>
      </w:r>
      <w:r>
        <w:t xml:space="preserve"> </w:t>
      </w:r>
      <w:r>
        <w:t xml:space="preserve">convention and output sign convention. Choosing substitutes after seeing the ARROW</w:t>
      </w:r>
      <w:r>
        <w:t xml:space="preserve"> </w:t>
      </w:r>
      <w:r>
        <w:t xml:space="preserve">targets would manufacture a baseline.</w:t>
      </w:r>
    </w:p>
    <w:p>
      <w:pPr>
        <w:pStyle w:val="Heading3"/>
        <w:keepNext/>
      </w:pPr>
      <w:bookmarkStart w:id="58" w:name="answer-and-manuscript-implication-1"/>
      <w:r>
        <w:t xml:space="preserve">Answer and manuscript implication</w:t>
      </w:r>
      <w:bookmarkEnd w:id="58"/>
    </w:p>
    <w:p>
      <w:pPr>
        <w:pStyle w:val="FirstParagraph"/>
      </w:pPr>
      <w:r>
        <w:t xml:space="preserve">No new historical MAE is reportable. If Michael supplies the exact frozen</w:t>
      </w:r>
      <w:r>
        <w:t xml:space="preserve"> </w:t>
      </w:r>
      <w:r>
        <w:t xml:space="preserve">implementation or complete specification, it can be run once prospectively on all</w:t>
      </w:r>
      <w:r>
        <w:t xml:space="preserve"> </w:t>
      </w:r>
      <w:r>
        <w:t xml:space="preserve">compatible neutral ARROW molecules, with coverage and exclusions reported. Until</w:t>
      </w:r>
      <w:r>
        <w:t xml:space="preserve"> </w:t>
      </w:r>
      <w:r>
        <w:t xml:space="preserve">then, the manuscript should use 0.303 as its primary matched baseline and 0.785</w:t>
      </w:r>
      <w:r>
        <w:t xml:space="preserve"> </w:t>
      </w:r>
      <w:r>
        <w:t xml:space="preserve">classical ARROW as physical context.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Main for the 0.303 and 0.785 scales; no approximate 19-parameter</w:t>
      </w:r>
      <w:r>
        <w:t xml:space="preserve"> </w:t>
      </w:r>
      <w:r>
        <w:t xml:space="preserve">bar. Adding a future result is non-blocking and would belong in Supplementary</w:t>
      </w:r>
      <w:r>
        <w:t xml:space="preserve"> </w:t>
      </w:r>
      <w:r>
        <w:t xml:space="preserve">Information unless exact comparability is unusually strong.</w:t>
      </w:r>
    </w:p>
    <w:p>
      <w:pPr>
        <w:pStyle w:val="Heading2"/>
        <w:keepNext/>
      </w:pPr>
      <w:bookmarkStart w:id="59" w:name="hard-cases-and-failure-modes-b"/>
      <w:r>
        <w:t xml:space="preserve">4. Hard cases and failure modes — B</w:t>
      </w:r>
      <w:bookmarkEnd w:id="59"/>
    </w:p>
    <w:p>
      <w:pPr>
        <w:pStyle w:val="Heading3"/>
        <w:keepNext/>
      </w:pPr>
      <w:bookmarkStart w:id="60" w:name="question-4"/>
      <w:r>
        <w:t xml:space="preserve">Question</w:t>
      </w:r>
      <w:bookmarkEnd w:id="60"/>
    </w:p>
    <w:p>
      <w:pPr>
        <w:pStyle w:val="FirstParagraph"/>
      </w:pPr>
      <w:r>
        <w:t xml:space="preserve">Are failures concentrated in substituted aromatics, larger/conjugated systems,</w:t>
      </w:r>
      <w:r>
        <w:t xml:space="preserve"> </w:t>
      </w:r>
      <w:r>
        <w:t xml:space="preserve">amides or another chemically interpretable class, and are the same molecules hard for</w:t>
      </w:r>
      <w:r>
        <w:t xml:space="preserve"> </w:t>
      </w:r>
      <w:r>
        <w:t xml:space="preserve">PIMD8?</w:t>
      </w:r>
    </w:p>
    <w:p>
      <w:pPr>
        <w:pStyle w:val="Heading3"/>
        <w:keepNext/>
      </w:pPr>
      <w:bookmarkStart w:id="61" w:name="new-analysis-of-frozen-predictions"/>
      <w:r>
        <w:t xml:space="preserve">New analysis of frozen predictions</w:t>
      </w:r>
      <w:bookmarkEnd w:id="61"/>
    </w:p>
    <w:p>
      <w:pPr>
        <w:pStyle w:val="FirstParagraph"/>
      </w:pPr>
      <w:r>
        <w:t xml:space="preserve">The table uses only the frozen standardized-exclusion OOF predictions. It is</w:t>
      </w:r>
      <w:r>
        <w:t xml:space="preserve"> </w:t>
      </w:r>
      <w:r>
        <w:t xml:space="preserve">post-hoc diagnosis, not confirmatory hypothesis testing.</w:t>
      </w:r>
    </w:p>
    <w:tbl>
      <w:tblPr>
        <w:tblStyle w:val="LightShading-Accent1"/>
        <w:tblW w:type="pct" w:w="0.0"/>
        <w:tblLayout w:type="fixed"/>
        <w:tblLook w:firstRow="1"/>
      </w:tblPr>
      <w:tblGrid>
        <w:gridCol w:w="454"/>
        <w:gridCol w:w="1304"/>
        <w:gridCol w:w="2381"/>
        <w:gridCol w:w="1191"/>
        <w:gridCol w:w="1134"/>
        <w:gridCol w:w="1587"/>
        <w:gridCol w:w="1134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45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Rank</w:t>
            </w:r>
          </w:p>
        </w:tc>
        <w:tc>
          <w:tcPr>
            <w:tcW w:type="dxa" w:w="130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Molecule</w:t>
            </w:r>
          </w:p>
        </w:tc>
        <w:tc>
          <w:tcPr>
            <w:tcW w:type="dxa" w:w="238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SMILES</w:t>
            </w:r>
          </w:p>
        </w:tc>
        <w:tc>
          <w:tcPr>
            <w:tcW w:type="dxa" w:w="119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Family</w:t>
            </w:r>
          </w:p>
        </w:tc>
        <w:tc>
          <w:tcPr>
            <w:tcW w:type="dxa" w:w="113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SolvAI error</w:t>
            </w:r>
          </w:p>
        </w:tc>
        <w:tc>
          <w:tcPr>
            <w:tcW w:type="dxa" w:w="1587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Structure-only error</w:t>
            </w:r>
          </w:p>
        </w:tc>
        <w:tc>
          <w:tcPr>
            <w:tcW w:type="dxa" w:w="113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 xml:space="preserve">PIMD8 error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Methane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Alkane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1.102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0.691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0.091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2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tert-Butanol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CC(C)(C)O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Alcohol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1.052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0.058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0.350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3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N-Methylacetamide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CNC(C)=O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Amide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1.040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1.292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0.494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4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m-Cresol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Cc1cccc(O)c1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Aromatic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0.810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0.879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1.029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5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Tetracene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c1ccc2cc3cc4ccccc4cc3cc2c1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Aromatic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0.754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0.771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0.440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6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Dimethoxyethane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COCCOC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Ether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0.723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1.148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0.197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7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Pyrene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c1cc2ccc3cccc4ccc(c1)c2c34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Aromatic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0.717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0.817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0.011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8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Dimethylacetamide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CC(=O)N(C)C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Amide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0.700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1.447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0.009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9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Acetic acid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CC(=O)O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Acid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0.551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0.206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0.342</w:t>
            </w:r>
          </w:p>
        </w:tc>
      </w:tr>
      <w:tr>
        <w:trPr>
          <w:cantSplit/>
          <w:trHeight w:hRule="atLeast"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10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Phenol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Style w:val="VerbatimChar"/>
                <w:rFonts w:ascii="Aptos" w:hAnsi="Aptos" w:eastAsia="Aptos"/>
                <w:color w:val="202B35"/>
                <w:sz w:val="14"/>
              </w:rPr>
              <w:t xml:space="preserve">Oc1ccccc1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Aromatic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0.488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0.854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4"/>
              </w:rPr>
              <w:t xml:space="preserve">0.181</w:t>
            </w:r>
          </w:p>
        </w:tc>
      </w:tr>
    </w:tbl>
    <w:p>
      <w:pPr>
        <w:pStyle w:val="BodyText"/>
      </w:pPr>
      <w:r>
        <w:t xml:space="preserve">Nine molecules have SolvAI absolute error at least 0.5 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. Only</w:t>
      </w:r>
      <w:r>
        <w:t xml:space="preserve"> </w:t>
      </w:r>
      <w:r>
        <w:t xml:space="preserve">m-cresol also has PIMD8 error at least 0.5; the other eight are predominantly</w:t>
      </w:r>
      <w:r>
        <w:t xml:space="preserve"> </w:t>
      </w:r>
      <w:r>
        <w:t xml:space="preserve">SolvAI-specific misses under this descriptive threshold.</w:t>
      </w:r>
    </w:p>
    <w:p>
      <w:pPr>
        <w:pStyle w:val="BodyText"/>
      </w:pPr>
      <w:r>
        <w:t xml:space="preserve">The meeting hypotheses receive qualified support: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Amides:</w:t>
      </w:r>
      <w:r>
        <w:t xml:space="preserve"> </w:t>
      </w:r>
      <w:r>
        <w:t xml:space="preserve">n=4, SolvAI MAE 0.483 versus 0.708 structure only and 0.184 PIMD8.</w:t>
      </w:r>
      <w:r>
        <w:t xml:space="preserve"> </w:t>
      </w:r>
      <w:r>
        <w:t xml:space="preserve">The priors help the class overall, but two amides remain among the eight worst</w:t>
      </w:r>
      <w:r>
        <w:t xml:space="preserve"> </w:t>
      </w:r>
      <w:r>
        <w:t xml:space="preserve">individual predictions.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Aromatic structures:</w:t>
      </w:r>
      <w:r>
        <w:t xml:space="preserve"> </w:t>
      </w:r>
      <w:r>
        <w:t xml:space="preserve">n=17, 0.265 versus 0.426 structure only and 0.317 PIMD8.</w:t>
      </w:r>
      <w:r>
        <w:t xml:space="preserve"> </w:t>
      </w:r>
      <w:r>
        <w:t xml:space="preserve">For the post-hoc subset with an aromatic ring and at least eight heavy atoms</w:t>
      </w:r>
      <w:r>
        <w:t xml:space="preserve"> </w:t>
      </w:r>
      <w:r>
        <w:t xml:space="preserve">(n=10), the values are 0.334, 0.430 and 0.388, respectively. Large/conjugated</w:t>
      </w:r>
      <w:r>
        <w:t xml:space="preserve"> </w:t>
      </w:r>
      <w:r>
        <w:t xml:space="preserve">aromatics are enriched among hard cases, but the sample is too small for a ranked</w:t>
      </w:r>
      <w:r>
        <w:t xml:space="preserve"> </w:t>
      </w:r>
      <w:r>
        <w:t xml:space="preserve">population claim.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Other failures matter:</w:t>
      </w:r>
      <w:r>
        <w:t xml:space="preserve"> </w:t>
      </w:r>
      <w:r>
        <w:t xml:space="preserve">methane and tert-butanol are the two largest errors,</w:t>
      </w:r>
      <w:r>
        <w:t xml:space="preserve"> </w:t>
      </w:r>
      <w:r>
        <w:t xml:space="preserve">and the priors worsen the average for alkanes (0.234 versus 0.201) and alcohols</w:t>
      </w:r>
      <w:r>
        <w:t xml:space="preserve"> </w:t>
      </w:r>
      <w:r>
        <w:t xml:space="preserve">(0.196 versus 0.109). The failure mode is not simply molecular size.</w:t>
      </w:r>
    </w:p>
    <w:p>
      <w:pPr>
        <w:pStyle w:val="FirstParagraph"/>
      </w:pPr>
      <w:r>
        <w:t xml:space="preserve">Across all 85 molecules, SolvAI improves absolute error over the matched structure</w:t>
      </w:r>
      <w:r>
        <w:t xml:space="preserve"> </w:t>
      </w:r>
      <w:r>
        <w:t xml:space="preserve">model for 53. The broad gain is therefore not produced by every molecule, and the</w:t>
      </w:r>
      <w:r>
        <w:t xml:space="preserve"> </w:t>
      </w:r>
      <w:r>
        <w:t xml:space="preserve">largest misses are not generally inherited from the PIMD8 comparator.</w:t>
      </w:r>
    </w:p>
    <w:p>
      <w:pPr>
        <w:pStyle w:val="BodyText"/>
      </w:pPr>
      <w:r>
        <w:t xml:space="preserve">Full records, including scaffolds, descriptors, signed residuals and five-repeat</w:t>
      </w:r>
      <w:r>
        <w:t xml:space="preserve"> </w:t>
      </w:r>
      <w:r>
        <w:t xml:space="preserve">stability, are in</w:t>
      </w:r>
      <w:r>
        <w:t xml:space="preserve"> </w:t>
      </w:r>
      <w:hyperlink r:id="rId62">
        <w:r>
          <w:rPr>
            <w:rStyle w:val="Hyperlink"/>
          </w:rPr>
          <w:t xml:space="preserve">results/followup_audit/hard_case_audit.csv</w:t>
        </w:r>
      </w:hyperlink>
      <w:r>
        <w:t xml:space="preserve">; grouped summaries are</w:t>
      </w:r>
      <w:r>
        <w:t xml:space="preserve"> </w:t>
      </w:r>
      <w:r>
        <w:t xml:space="preserve">in</w:t>
      </w:r>
      <w:r>
        <w:t xml:space="preserve"> </w:t>
      </w:r>
      <w:hyperlink r:id="rId63">
        <w:r>
          <w:rPr>
            <w:rStyle w:val="Hyperlink"/>
          </w:rPr>
          <w:t xml:space="preserve">results/followup_audit/hard_case_group_summary.csv</w:t>
        </w:r>
      </w:hyperlink>
      <w:r>
        <w:t xml:space="preserve">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Supplement for the molecule-level table/plot; one compact</w:t>
      </w:r>
      <w:r>
        <w:t xml:space="preserve"> </w:t>
      </w:r>
      <w:r>
        <w:t xml:space="preserve">Discussion sentence identifying amides and aromatic systems while noting methane and</w:t>
      </w:r>
      <w:r>
        <w:t xml:space="preserve"> </w:t>
      </w:r>
      <w:r>
        <w:t xml:space="preserve">tert-butanol. Do not promote the post-hoc group ordering to a formal generalization</w:t>
      </w:r>
      <w:r>
        <w:t xml:space="preserve"> </w:t>
      </w:r>
      <w:r>
        <w:t xml:space="preserve">claim.</w:t>
      </w:r>
    </w:p>
    <w:p>
      <w:pPr>
        <w:pStyle w:val="Heading2"/>
        <w:keepNext/>
      </w:pPr>
      <w:bookmarkStart w:id="64" w:name="Xff7cf654f8a585ff727f22838b21cbdd4e6810f"/>
      <w:r>
        <w:t xml:space="preserve">5. Failed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high-fidelity response — B</w:t>
      </w:r>
      <w:bookmarkEnd w:id="64"/>
    </w:p>
    <w:p>
      <w:pPr>
        <w:pStyle w:val="Heading3"/>
        <w:keepNext/>
      </w:pPr>
      <w:bookmarkStart w:id="65" w:name="question-5"/>
      <w:r>
        <w:t xml:space="preserve">Question</w:t>
      </w:r>
      <w:bookmarkEnd w:id="65"/>
    </w:p>
    <w:p>
      <w:pPr>
        <w:pStyle w:val="FirstParagraph"/>
      </w:pPr>
      <w:r>
        <w:t xml:space="preserve">Did direct high-fidelity response distillation fail only because the surrogate was</w:t>
      </w:r>
      <w:r>
        <w:t xml:space="preserve"> </w:t>
      </w:r>
      <w:r>
        <w:t xml:space="preserve">inaccurate, or because the intermediate target is itself tied to a chosen alchemical</w:t>
      </w:r>
      <w:r>
        <w:t xml:space="preserve"> </w:t>
      </w:r>
      <w:r>
        <w:t xml:space="preserve">protocol?</w:t>
      </w:r>
    </w:p>
    <w:p>
      <w:pPr>
        <w:pStyle w:val="Heading3"/>
        <w:keepNext/>
      </w:pPr>
      <w:bookmarkStart w:id="66" w:name="what-was-actually-learned"/>
      <w:r>
        <w:t xml:space="preserve">What was actually learned</w:t>
      </w:r>
      <w:bookmarkEnd w:id="66"/>
    </w:p>
    <w:p>
      <w:pPr>
        <w:pStyle w:val="FirstParagraph"/>
      </w:pPr>
      <w:r>
        <w:t xml:space="preserve">The experiment used 5-ps, two-bead PIMD observations at</w:t>
      </w:r>
      <w:r>
        <w:t xml:space="preserve"> </w:t>
      </w:r>
      <m:oMath>
        <m:r>
          <m:t>λ</m:t>
        </m:r>
        <m:r>
          <m:t>=</m:t>
        </m:r>
        <m:r>
          <m:t>0.1</m:t>
        </m:r>
        <m:r>
          <m:t>,</m:t>
        </m:r>
        <m:r>
          <m:t>0.5</m:t>
        </m:r>
        <m:r>
          <m:t>,</m:t>
        </m:r>
        <m:r>
          <m:t>0.9</m:t>
        </m:r>
      </m:oMath>
      <w:r>
        <w:t xml:space="preserve">:</w:t>
      </w:r>
      <w:r>
        <w:t xml:space="preserve"> </w:t>
      </w:r>
      <w:r>
        <w:t xml:space="preserve">total</w:t>
      </w:r>
      <w:r>
        <w:t xml:space="preserve"> </w:t>
      </w:r>
      <m:oMath>
        <m:r>
          <m:t>d</m:t>
        </m:r>
        <m:r>
          <m:t>H</m:t>
        </m:r>
        <m:r>
          <m:t>/</m:t>
        </m:r>
        <m:r>
          <m:t>d</m:t>
        </m:r>
        <m:r>
          <m:t>λ</m:t>
        </m:r>
      </m:oMath>
      <w:r>
        <w:t xml:space="preserve">, Coulomb and van der Waals contributions. There were 72, 74 and</w:t>
      </w:r>
      <w:r>
        <w:t xml:space="preserve"> </w:t>
      </w:r>
      <w:r>
        <w:t xml:space="preserve">73 successful molecules at the three states, with 72 complete curves. The exported</w:t>
      </w:r>
      <w:r>
        <w:t xml:space="preserve"> </w:t>
      </w:r>
      <w:r>
        <w:t xml:space="preserve">polarization component was identically zero. The ARBALEST configuration used a</w:t>
      </w:r>
      <w:r>
        <w:t xml:space="preserve"> </w:t>
      </w:r>
      <w:r>
        <w:t xml:space="preserve">specified 15-state coupling schedule, scale-factor power 2.0, soft-core power 1.0,</w:t>
      </w:r>
      <w:r>
        <w:t xml:space="preserve"> </w:t>
      </w:r>
      <w:r>
        <w:t xml:space="preserve">radius 1.5 and cutoff 6.0. These settings are visible in the archived</w:t>
      </w:r>
      <w:r>
        <w:t xml:space="preserve"> </w:t>
      </w:r>
      <w:r>
        <w:rPr>
          <w:rStyle w:val="VerbatimChar"/>
        </w:rPr>
        <w:t xml:space="preserve">conf.xml</w:t>
      </w:r>
      <w:r>
        <w:t xml:space="preserve"> </w:t>
      </w:r>
      <w:r>
        <w:t xml:space="preserve">files; the summary is in</w:t>
      </w:r>
      <w:r>
        <w:t xml:space="preserve"> </w:t>
      </w:r>
      <w:hyperlink r:id="rId67">
        <w:r>
          <w:rPr>
            <w:rStyle w:val="Hyperlink"/>
          </w:rPr>
          <w:t xml:space="preserve">reports/LAMBDA_RESPONSE_EXPERIMENT.md</w:t>
        </w:r>
      </w:hyperlink>
      <w:r>
        <w:t xml:space="preserve">.</w:t>
      </w:r>
    </w:p>
    <w:p>
      <w:pPr>
        <w:pStyle w:val="Heading3"/>
        <w:keepNext/>
      </w:pPr>
      <w:bookmarkStart w:id="68" w:name="answer-1"/>
      <w:r>
        <w:t xml:space="preserve">Answer</w:t>
      </w:r>
      <w:bookmarkEnd w:id="68"/>
    </w:p>
    <w:p>
      <w:pPr>
        <w:pStyle w:val="FirstParagraph"/>
      </w:pPr>
      <w:r>
        <w:t xml:space="preserve">Response-head MAEs span</w:t>
      </w:r>
      <w:r>
        <w:t xml:space="preserve"> </w:t>
      </w:r>
      <w:r>
        <w:rPr>
          <w:b/>
        </w:rPr>
        <w:t xml:space="preserve">1.275–5.199 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. The matched endpoint changes</w:t>
      </w:r>
      <w:r>
        <w:t xml:space="preserve"> </w:t>
      </w:r>
      <w:r>
        <w:t xml:space="preserve">from</w:t>
      </w:r>
      <w:r>
        <w:t xml:space="preserve"> </w:t>
      </w:r>
      <w:r>
        <w:rPr>
          <w:b/>
        </w:rPr>
        <w:t xml:space="preserve">0.19592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0.20136</w:t>
      </w:r>
      <w:r>
        <w:t xml:space="preserve"> </w:t>
      </w:r>
      <w:r>
        <w:t xml:space="preserve">with predicted PIMD2 response, to</w:t>
      </w:r>
      <w:r>
        <w:t xml:space="preserve"> </w:t>
      </w:r>
      <w:r>
        <w:rPr>
          <w:b/>
        </w:rPr>
        <w:t xml:space="preserve">0.21474</w:t>
      </w:r>
      <w:r>
        <w:t xml:space="preserve"> </w:t>
      </w:r>
      <w:r>
        <w:t xml:space="preserve">with the</w:t>
      </w:r>
      <w:r>
        <w:t xml:space="preserve"> </w:t>
      </w:r>
      <w:r>
        <w:t xml:space="preserve">classical/NQE/PIMD hierarchy, and to</w:t>
      </w:r>
      <w:r>
        <w:t xml:space="preserve"> </w:t>
      </w:r>
      <w:r>
        <w:rPr>
          <w:b/>
        </w:rPr>
        <w:t xml:space="preserve">0.21901</w:t>
      </w:r>
      <w:r>
        <w:t xml:space="preserve"> </w:t>
      </w:r>
      <w:r>
        <w:t xml:space="preserve">with both. Direct integration of the</w:t>
      </w:r>
      <w:r>
        <w:t xml:space="preserve"> </w:t>
      </w:r>
      <w:r>
        <w:t xml:space="preserve">predicted three-point curve followed by fold-local affine calibration gives</w:t>
      </w:r>
      <w:r>
        <w:t xml:space="preserve"> </w:t>
      </w:r>
      <w:r>
        <w:rPr>
          <w:b/>
        </w:rPr>
        <w:t xml:space="preserve">1.51356</w:t>
      </w:r>
      <w:r>
        <w:t xml:space="preserve"> </w:t>
      </w:r>
      <w:r>
        <w:t xml:space="preserve">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Heading3"/>
        <w:keepNext/>
      </w:pPr>
      <w:bookmarkStart w:id="69" w:name="technical-interpretation"/>
      <w:r>
        <w:t xml:space="preserve">Technical interpretation</w:t>
      </w:r>
      <w:bookmarkEnd w:id="69"/>
    </w:p>
    <w:p>
      <w:pPr>
        <w:pStyle w:val="FirstParagraph"/>
      </w:pPr>
      <w:r>
        <w:t xml:space="preserve">Path dependence applies.</w:t>
      </w:r>
      <w:r>
        <w:t xml:space="preserve"> </w:t>
      </w:r>
      <m:oMath>
        <m:r>
          <m:t>d</m:t>
        </m:r>
        <m:r>
          <m:t>H</m:t>
        </m:r>
        <m:r>
          <m:t>/</m:t>
        </m:r>
        <m:r>
          <m:t>d</m:t>
        </m:r>
        <m:r>
          <m:t>λ</m:t>
        </m:r>
      </m:oMath>
      <w:r>
        <w:t xml:space="preserve"> </w:t>
      </w:r>
      <w:r>
        <w:t xml:space="preserve">is the derivative of a selected interpolating</w:t>
      </w:r>
      <w:r>
        <w:t xml:space="preserve"> </w:t>
      </w:r>
      <w:r>
        <w:t xml:space="preserve">Hamiltonian. Its shape—and especially its electrostatic/van der Waals decomposition—</w:t>
      </w:r>
      <w:r>
        <w:t xml:space="preserve"> </w:t>
      </w:r>
      <w:r>
        <w:t xml:space="preserve">depends on the coupling map, soft-core treatment, parameterization and component</w:t>
      </w:r>
      <w:r>
        <w:t xml:space="preserve"> </w:t>
      </w:r>
      <w:r>
        <w:t xml:space="preserve">convention. A converged free-energy difference between fixed physical endpoints is a</w:t>
      </w:r>
      <w:r>
        <w:t xml:space="preserve"> </w:t>
      </w:r>
      <w:r>
        <w:t xml:space="preserve">state function; a sparse short-run three-point curve and its components are not unique</w:t>
      </w:r>
      <w:r>
        <w:t xml:space="preserve"> </w:t>
      </w:r>
      <w:r>
        <w:t xml:space="preserve">intrinsic molecular observables.</w:t>
      </w:r>
    </w:p>
    <w:p>
      <w:pPr>
        <w:pStyle w:val="BodyText"/>
      </w:pPr>
      <w:r>
        <w:t xml:space="preserve">The existing explanation is therefore correct but incomplete. The measured</w:t>
      </w:r>
      <w:r>
        <w:t xml:space="preserve"> </w:t>
      </w:r>
      <w:r>
        <w:t xml:space="preserve">structure-to-response errors are too large for the 0.2-kcal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endpoint, but</w:t>
      </w:r>
      <w:r>
        <w:t xml:space="preserve"> </w:t>
      </w:r>
      <w:r>
        <w:t xml:space="preserve">the difficulty reflects both sparse/noisy supervision and a protocol-conditioned</w:t>
      </w:r>
      <w:r>
        <w:t xml:space="preserve"> </w:t>
      </w:r>
      <w:r>
        <w:t xml:space="preserve">target. This experiment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show that all alchemical-response distillation is</w:t>
      </w:r>
      <w:r>
        <w:t xml:space="preserve"> </w:t>
      </w:r>
      <w:r>
        <w:t xml:space="preserve">unhelpful.</w:t>
      </w:r>
    </w:p>
    <w:p>
      <w:pPr>
        <w:pStyle w:val="BodyText"/>
      </w:pPr>
      <w:r>
        <w:t xml:space="preserve">Proposed wording for later manuscript consideration:</w:t>
      </w:r>
    </w:p>
    <w:p>
      <w:pPr>
        <w:pStyle w:val="BlockText"/>
      </w:pPr>
      <w:r>
        <w:t xml:space="preserve">The protocol-specific short-run responses were learned with 1.27–5.20 kcal</w:t>
      </w:r>
      <w:r>
        <w:t xml:space="preserve"> </w:t>
      </w:r>
      <w:r>
        <w:t xml:space="preserve">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errors from only 72–74 labels and did not improve the endpoint. Their</w:t>
      </w:r>
      <w:r>
        <w:t xml:space="preserve"> </w:t>
      </w:r>
      <w:r>
        <w:t xml:space="preserve">detailed shapes depend on the alchemical path, force field and soft-core convention;</w:t>
      </w:r>
      <w:r>
        <w:t xml:space="preserve"> </w:t>
      </w:r>
      <w:r>
        <w:t xml:space="preserve">the result therefore bounds this sparse response representation rather than</w:t>
      </w:r>
      <w:r>
        <w:t xml:space="preserve"> </w:t>
      </w:r>
      <w:r>
        <w:t xml:space="preserve">alchemical-response distillation in general.</w:t>
      </w:r>
    </w:p>
    <w:p>
      <w:pPr>
        <w:pStyle w:val="FirstParagraph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Discussion / Supplement. This is a scientifically material</w:t>
      </w:r>
      <w:r>
        <w:t xml:space="preserve"> </w:t>
      </w:r>
      <w:r>
        <w:t xml:space="preserve">interpretive correction, but no new experiment is required.</w:t>
      </w:r>
    </w:p>
    <w:p>
      <w:pPr>
        <w:pStyle w:val="Heading2"/>
        <w:keepNext/>
      </w:pPr>
      <w:bookmarkStart w:id="70" w:name="truly-blind-molecule-challenge-c"/>
      <w:r>
        <w:t xml:space="preserve">6. Truly blind molecule challenge — C</w:t>
      </w:r>
      <w:bookmarkEnd w:id="70"/>
    </w:p>
    <w:p>
      <w:pPr>
        <w:pStyle w:val="Heading3"/>
        <w:keepNext/>
      </w:pPr>
      <w:bookmarkStart w:id="71" w:name="question-6"/>
      <w:r>
        <w:t xml:space="preserve">Question</w:t>
      </w:r>
      <w:bookmarkEnd w:id="71"/>
    </w:p>
    <w:p>
      <w:pPr>
        <w:pStyle w:val="FirstParagraph"/>
      </w:pPr>
      <w:r>
        <w:t xml:space="preserve">Can an independently selected difficult molecule provide a genuinely blind test?</w:t>
      </w:r>
    </w:p>
    <w:p>
      <w:pPr>
        <w:pStyle w:val="Heading3"/>
        <w:keepNext/>
      </w:pPr>
      <w:bookmarkStart w:id="72" w:name="feasibility-and-scientific-value"/>
      <w:r>
        <w:t xml:space="preserve">Feasibility and scientific value</w:t>
      </w:r>
      <w:bookmarkEnd w:id="72"/>
    </w:p>
    <w:p>
      <w:pPr>
        <w:pStyle w:val="FirstParagraph"/>
      </w:pPr>
      <w:r>
        <w:t xml:space="preserve">Yes, but only prospectively. Choosing a molecule now from known errors would be</w:t>
      </w:r>
      <w:r>
        <w:t xml:space="preserve"> </w:t>
      </w:r>
      <w:r>
        <w:t xml:space="preserve">anecdotal selection. A single molecule would be a demonstration, not a statistically</w:t>
      </w:r>
      <w:r>
        <w:t xml:space="preserve"> </w:t>
      </w:r>
      <w:r>
        <w:t xml:space="preserve">meaningful validation; a small panel is much stronger.</w:t>
      </w:r>
    </w:p>
    <w:p>
      <w:pPr>
        <w:pStyle w:val="BodyText"/>
      </w:pPr>
      <w:r>
        <w:t xml:space="preserve">Aspartic acid should not be used automatically. In water near neutral pH it is</w:t>
      </w:r>
      <w:r>
        <w:t xml:space="preserve"> </w:t>
      </w:r>
      <w:r>
        <w:t xml:space="preserve">predominantly zwitterionic/anionic, with multiple protonation microstates. A formally</w:t>
      </w:r>
      <w:r>
        <w:t xml:space="preserve"> </w:t>
      </w:r>
      <w:r>
        <w:t xml:space="preserve">neutral covalent SMILES does not make its experimental hydration free energy a clean</w:t>
      </w:r>
      <w:r>
        <w:t xml:space="preserve"> </w:t>
      </w:r>
      <w:r>
        <w:t xml:space="preserve">neutral-nonelectrolyte endpoint. It is outside the present validated scope unless a</w:t>
      </w:r>
      <w:r>
        <w:t xml:space="preserve"> </w:t>
      </w:r>
      <w:r>
        <w:t xml:space="preserve">specific microstate, pH-independent thermodynamic convention and matching experimental</w:t>
      </w:r>
      <w:r>
        <w:t xml:space="preserve"> </w:t>
      </w:r>
      <w:r>
        <w:t xml:space="preserve">quantity are established in advance.</w:t>
      </w:r>
    </w:p>
    <w:p>
      <w:pPr>
        <w:pStyle w:val="Heading3"/>
        <w:keepNext/>
      </w:pPr>
      <w:bookmarkStart w:id="73" w:name="exact-prospective-protocol"/>
      <w:r>
        <w:t xml:space="preserve">Exact prospective protocol</w:t>
      </w:r>
      <w:bookmarkEnd w:id="73"/>
    </w:p>
    <w:p>
      <w:pPr>
        <w:numPr>
          <w:ilvl w:val="0"/>
          <w:numId w:val="1003"/>
        </w:numPr>
        <w:pStyle w:val="Compact"/>
      </w:pPr>
      <w:r>
        <w:t xml:space="preserve">Boris or another independent custodian freezes</w:t>
      </w:r>
      <w:r>
        <w:t xml:space="preserve"> </w:t>
      </w:r>
      <w:r>
        <w:rPr>
          <w:b/>
        </w:rPr>
        <w:t xml:space="preserve">20–30</w:t>
      </w:r>
      <w:r>
        <w:t xml:space="preserve"> </w:t>
      </w:r>
      <w:r>
        <w:t xml:space="preserve">candidate SMILES and</w:t>
      </w:r>
      <w:r>
        <w:t xml:space="preserve"> </w:t>
      </w:r>
      <w:r>
        <w:t xml:space="preserve">experimental references before receiving any SolvAI prediction. A single showcase</w:t>
      </w:r>
      <w:r>
        <w:t xml:space="preserve"> </w:t>
      </w:r>
      <w:r>
        <w:t xml:space="preserve">molecule may accompany this panel but cannot replace it.</w:t>
      </w:r>
    </w:p>
    <w:p>
      <w:pPr>
        <w:numPr>
          <w:ilvl w:val="0"/>
          <w:numId w:val="1003"/>
        </w:numPr>
        <w:pStyle w:val="Compact"/>
      </w:pPr>
      <w:r>
        <w:t xml:space="preserve">Eligibility is applied outcome-blind: one neutral fragment; no metal; no ambiguous</w:t>
      </w:r>
      <w:r>
        <w:t xml:space="preserve"> </w:t>
      </w:r>
      <w:r>
        <w:t xml:space="preserve">dominant aqueous protomer; neutral small-organic elements and size within a</w:t>
      </w:r>
      <w:r>
        <w:t xml:space="preserve"> </w:t>
      </w:r>
      <w:r>
        <w:t xml:space="preserve">prespecified reference/training envelope; a compatible 298-K gas-to-water standard</w:t>
      </w:r>
      <w:r>
        <w:t xml:space="preserve"> </w:t>
      </w:r>
      <w:r>
        <w:t xml:space="preserve">state; and a stated experimental uncertainty.</w:t>
      </w:r>
    </w:p>
    <w:p>
      <w:pPr>
        <w:numPr>
          <w:ilvl w:val="0"/>
          <w:numId w:val="1003"/>
        </w:numPr>
        <w:pStyle w:val="Compact"/>
      </w:pPr>
      <w:r>
        <w:t xml:space="preserve">Before inference, audit each candidate against the 1,280 endpoint rows and every</w:t>
      </w:r>
      <w:r>
        <w:t xml:space="preserve"> </w:t>
      </w:r>
      <w:r>
        <w:t xml:space="preserve">teacher source using full identity, connectivity, fragment parent, uncharged parent</w:t>
      </w:r>
      <w:r>
        <w:t xml:space="preserve"> </w:t>
      </w:r>
      <w:r>
        <w:t xml:space="preserve">and canonical tautomer. Predeclare how ineligible candidates are replaced.</w:t>
      </w:r>
    </w:p>
    <w:p>
      <w:pPr>
        <w:numPr>
          <w:ilvl w:val="0"/>
          <w:numId w:val="1003"/>
        </w:numPr>
        <w:pStyle w:val="Compact"/>
      </w:pPr>
      <w:r>
        <w:t xml:space="preserve">Freeze candidate identities, source citations, endpoint values under custodian</w:t>
      </w:r>
      <w:r>
        <w:t xml:space="preserve"> </w:t>
      </w:r>
      <w:r>
        <w:t xml:space="preserve">holdback, the SolvAI artifact hash and the analysis script. Record scaffold and</w:t>
      </w:r>
      <w:r>
        <w:t xml:space="preserve"> </w:t>
      </w:r>
      <w:r>
        <w:t xml:space="preserve">nearest-neighbour similarity without using them to select on performance.</w:t>
      </w:r>
    </w:p>
    <w:p>
      <w:pPr>
        <w:numPr>
          <w:ilvl w:val="0"/>
          <w:numId w:val="1003"/>
        </w:numPr>
        <w:pStyle w:val="Compact"/>
      </w:pPr>
      <w:r>
        <w:t xml:space="preserve">Run one batch prediction, unblind all ground truth and report every molecule,</w:t>
      </w:r>
      <w:r>
        <w:t xml:space="preserve"> </w:t>
      </w:r>
      <w:r>
        <w:t xml:space="preserve">including exclusions and failures.</w:t>
      </w:r>
    </w:p>
    <w:p>
      <w:pPr>
        <w:pStyle w:val="FirstParagraph"/>
      </w:pPr>
      <w:r>
        <w:t xml:space="preserve">No challenge was run because the necessary independent preselection has not occurred.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optional prospective Supplement if it can be conducted cleanly</w:t>
      </w:r>
      <w:r>
        <w:t xml:space="preserve"> </w:t>
      </w:r>
      <w:r>
        <w:t xml:space="preserve">and quickly; otherwise future work. Submission should not wait for a single-molecule</w:t>
      </w:r>
      <w:r>
        <w:t xml:space="preserve"> </w:t>
      </w:r>
      <w:r>
        <w:t xml:space="preserve">demonstration.</w:t>
      </w:r>
    </w:p>
    <w:p>
      <w:pPr>
        <w:pStyle w:val="Heading2"/>
        <w:keepNext/>
      </w:pPr>
      <w:bookmarkStart w:id="74" w:name="different-solvent-especially-octanol-d"/>
      <w:r>
        <w:t xml:space="preserve">7. Different solvent, especially octanol — D</w:t>
      </w:r>
      <w:bookmarkEnd w:id="74"/>
    </w:p>
    <w:p>
      <w:pPr>
        <w:pStyle w:val="Heading3"/>
        <w:keepNext/>
      </w:pPr>
      <w:bookmarkStart w:id="75" w:name="question-7"/>
      <w:r>
        <w:t xml:space="preserve">Question</w:t>
      </w:r>
      <w:bookmarkEnd w:id="75"/>
    </w:p>
    <w:p>
      <w:pPr>
        <w:pStyle w:val="FirstParagraph"/>
      </w:pPr>
      <w:r>
        <w:t xml:space="preserve">Would transfer to octanol demonstrate that the response-learning framework extends</w:t>
      </w:r>
      <w:r>
        <w:t xml:space="preserve"> </w:t>
      </w:r>
      <w:r>
        <w:t xml:space="preserve">beyond hydration?</w:t>
      </w:r>
    </w:p>
    <w:p>
      <w:pPr>
        <w:pStyle w:val="Heading3"/>
        <w:keepNext/>
      </w:pPr>
      <w:bookmarkStart w:id="76" w:name="existing-endpoint-data"/>
      <w:r>
        <w:t xml:space="preserve">Existing endpoint data</w:t>
      </w:r>
      <w:bookmarkEnd w:id="76"/>
    </w:p>
    <w:p>
      <w:pPr>
        <w:pStyle w:val="FirstParagraph"/>
      </w:pPr>
      <w:r>
        <w:t xml:space="preserve">The most relevant local source is</w:t>
      </w:r>
      <w:r>
        <w:t xml:space="preserve"> </w:t>
      </w:r>
      <w:hyperlink r:id="rId77">
        <w:r>
          <w:rPr>
            <w:rStyle w:val="Hyperlink"/>
          </w:rPr>
          <w:t xml:space="preserve">SoluteML</w:t>
        </w:r>
      </w:hyperlink>
      <w:r>
        <w:t xml:space="preserve"> </w:t>
      </w:r>
      <w:r>
        <w:t xml:space="preserve">(Zenodo 5792296). For</w:t>
      </w:r>
      <w:r>
        <w:t xml:space="preserve"> </w:t>
      </w:r>
      <w:r>
        <w:t xml:space="preserve">1-octanol:</w:t>
      </w:r>
    </w:p>
    <w:tbl>
      <w:tblPr>
        <w:tblStyle w:val="LightShading-Accent1"/>
        <w:tblW w:type="pct" w:w="5000.0"/>
        <w:tblLayout w:type="fixed"/>
        <w:tblLook w:firstRow="1"/>
      </w:tblPr>
      <w:tblGrid>
        <w:gridCol w:w="2891"/>
        <w:gridCol w:w="2154"/>
        <w:gridCol w:w="2211"/>
        <w:gridCol w:w="2381"/>
      </w:tblGrid>
      <w:tr>
        <w:trPr>
          <w:cnfStyle w:firstRow="1"/>
          <w:cantSplit/>
          <w:trHeight w:hRule="atLeast"/>
          <w:tblHeader w:val="true"/>
        </w:trPr>
        <w:tc>
          <w:tcPr>
            <w:tcW w:type="dxa" w:w="289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SoluteML table</w:t>
            </w:r>
          </w:p>
        </w:tc>
        <w:tc>
          <w:tcPr>
            <w:tcW w:type="dxa" w:w="2154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All-data unique solutes</w:t>
            </w:r>
          </w:p>
        </w:tc>
        <w:tc>
          <w:tcPr>
            <w:tcW w:type="dxa" w:w="221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Selected neutral unique solutes</w:t>
            </w:r>
          </w:p>
        </w:tc>
        <w:tc>
          <w:tcPr>
            <w:tcW w:type="dxa" w:w="2381"/>
            <w:tcBorders>
              <w:bottom w:val="single"/>
            </w:tcBorders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 xml:space="preserve">Underlying entries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dGsolvDB1 / dGsolvDB2 direct compiled values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260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252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397 all / 389 selected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dGsolvDB3 expanded values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4,304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4,261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8,980 all / 8,911 selected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lef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logPow table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3,061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3,019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30" w:before="30"/>
              <w:jc w:val="right"/>
            </w:pPr>
            <w:r>
              <w:rPr>
                <w:rFonts w:ascii="Aptos" w:hAnsi="Aptos" w:eastAsia="Aptos"/>
                <w:color w:val="202B35"/>
                <w:sz w:val="16"/>
              </w:rPr>
              <w:t xml:space="preserve">partition coefficients, not direct octanol</w:t>
            </w:r>
            <w:r>
              <w:rPr>
                <w:rFonts w:ascii="Aptos" w:hAnsi="Aptos" w:eastAsia="Aptos"/>
                <w:color w:val="202B35"/>
                <w:sz w:val="16"/>
              </w:rPr>
              <w:t xml:space="preserve"> </w:t>
            </w:r>
            <m:oMath>
              <m:r>
                <m:t>Δ</m:t>
              </m:r>
              <m:r>
                <m:t>G</m:t>
              </m:r>
            </m:oMath>
          </w:p>
        </w:tc>
      </w:tr>
    </w:tbl>
    <w:p>
      <w:pPr>
        <w:pStyle w:val="BodyText"/>
      </w:pPr>
      <w:r>
        <w:t xml:space="preserve">The apparently large dGsolvDB3 subset does not provide 4,304 independent direct</w:t>
      </w:r>
      <w:r>
        <w:t xml:space="preserve"> </w:t>
      </w:r>
      <w:r>
        <w:t xml:space="preserve">octanol solvation measurements. The source paper states that dGsolvDB3 augments</w:t>
      </w:r>
      <w:r>
        <w:t xml:space="preserve"> </w:t>
      </w:r>
      <w:r>
        <w:t xml:space="preserve">dGsolvDB2 by converting water–octanol and other solvent–water partition coefficients</w:t>
      </w:r>
      <w:r>
        <w:t xml:space="preserve"> </w:t>
      </w:r>
      <w:r>
        <w:t xml:space="preserve">to solvation free energies under a dry-solvent approximation; the octanol rows are</w:t>
      </w:r>
      <w:r>
        <w:t xml:space="preserve"> </w:t>
      </w:r>
      <w:r>
        <w:t xml:space="preserve">dominated by in-house, PHYSPROP and OCHEM logP/logPow sources. This derived provenance</w:t>
      </w:r>
      <w:r>
        <w:t xml:space="preserve"> </w:t>
      </w:r>
      <w:r>
        <w:t xml:space="preserve">creates correlated labels and a water-reference dependency that must be treated</w:t>
      </w:r>
      <w:r>
        <w:t xml:space="preserve"> </w:t>
      </w:r>
      <w:r>
        <w:t xml:space="preserve">explicitly. The clean direct subset is far below the proposed roughly 1,000 training</w:t>
      </w:r>
      <w:r>
        <w:t xml:space="preserve"> </w:t>
      </w:r>
      <w:r>
        <w:t xml:space="preserve">plus 100 held-out cases.</w:t>
      </w:r>
    </w:p>
    <w:p>
      <w:pPr>
        <w:pStyle w:val="Heading3"/>
        <w:keepNext/>
      </w:pPr>
      <w:bookmarkStart w:id="78" w:name="compatibility-with-solvai-priors"/>
      <w:r>
        <w:t xml:space="preserve">Compatibility with SolvAI priors</w:t>
      </w:r>
      <w:bookmarkEnd w:id="78"/>
    </w:p>
    <w:p>
      <w:pPr>
        <w:pStyle w:val="FirstParagraph"/>
      </w:pPr>
      <w:r>
        <w:t xml:space="preserve">Ten of the 15 deployed priors are explicitly water-specific: CombiSolv-QM water,</w:t>
      </w:r>
      <w:r>
        <w:t xml:space="preserve"> </w:t>
      </w:r>
      <w:r>
        <w:t xml:space="preserve">corrected OpenFF explicit water, corrected GBn2 water, SMD(water), and six ConfSolv</w:t>
      </w:r>
      <w:r>
        <w:t xml:space="preserve"> </w:t>
      </w:r>
      <w:r>
        <w:t xml:space="preserve">H2O summaries. The five Abraham solute axes are broadly solvent-transferable, but an</w:t>
      </w:r>
      <w:r>
        <w:t xml:space="preserve"> </w:t>
      </w:r>
      <w:r>
        <w:t xml:space="preserve">octanol endpoint requires solvent-specific coefficients or learning. Reusing the ten</w:t>
      </w:r>
      <w:r>
        <w:t xml:space="preserve"> </w:t>
      </w:r>
      <w:r>
        <w:t xml:space="preserve">water priors may be a valid cross-solvent representation experiment, but it would not</w:t>
      </w:r>
      <w:r>
        <w:t xml:space="preserve"> </w:t>
      </w:r>
      <w:r>
        <w:t xml:space="preserve">mean that SolvAI had distilled octanol response. A persuasive extension would require</w:t>
      </w:r>
      <w:r>
        <w:t xml:space="preserve"> </w:t>
      </w:r>
      <w:r>
        <w:t xml:space="preserve">curating an octanol endpoint with dependency-aware splitting and training</w:t>
      </w:r>
      <w:r>
        <w:t xml:space="preserve"> </w:t>
      </w:r>
      <w:r>
        <w:t xml:space="preserve">octanol-specific response teachers—or explicitly narrowing the claim to transfer from</w:t>
      </w:r>
      <w:r>
        <w:t xml:space="preserve"> </w:t>
      </w:r>
      <w:r>
        <w:t xml:space="preserve">water response.</w:t>
      </w:r>
    </w:p>
    <w:p>
      <w:pPr>
        <w:pStyle w:val="Heading3"/>
        <w:keepNext/>
      </w:pPr>
      <w:bookmarkStart w:id="79" w:name="gono-go-for-this-submission"/>
      <w:r>
        <w:t xml:space="preserve">Go/no-go for this submission</w:t>
      </w:r>
      <w:bookmarkEnd w:id="79"/>
    </w:p>
    <w:p>
      <w:pPr>
        <w:pStyle w:val="FirstParagraph"/>
      </w:pPr>
      <w:r>
        <w:rPr>
          <w:b/>
        </w:rPr>
        <w:t xml:space="preserve">No-go.</w:t>
      </w:r>
      <w:r>
        <w:t xml:space="preserve"> </w:t>
      </w:r>
      <w:r>
        <w:t xml:space="preserve">Endpoint-only refitting would answer a different and weaker question;</w:t>
      </w:r>
      <w:r>
        <w:t xml:space="preserve"> </w:t>
      </w:r>
      <w:r>
        <w:t xml:space="preserve">building solvent-specific teachers and a clean independent test is a substantial new</w:t>
      </w:r>
      <w:r>
        <w:t xml:space="preserve"> </w:t>
      </w:r>
      <w:r>
        <w:t xml:space="preserve">study. It risks obscuring the controlled hydration result and should not delay the</w:t>
      </w:r>
      <w:r>
        <w:t xml:space="preserve"> </w:t>
      </w:r>
      <w:r>
        <w:t xml:space="preserve">current submission.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Future work / separate paper on solvent-conditioned response</w:t>
      </w:r>
      <w:r>
        <w:t xml:space="preserve"> </w:t>
      </w:r>
      <w:r>
        <w:t xml:space="preserve">distillation.</w:t>
      </w:r>
    </w:p>
    <w:p>
      <w:pPr>
        <w:pStyle w:val="Heading2"/>
        <w:keepNext/>
      </w:pPr>
      <w:bookmarkStart w:id="80" w:name="Xc36d0edb3c2dd97e3bbd613bcfea46fc00a3ea6"/>
      <w:r>
        <w:t xml:space="preserve">8. Literature and</w:t>
      </w:r>
      <w:r>
        <w:t xml:space="preserve"> </w:t>
      </w:r>
      <w:r>
        <w:t xml:space="preserve">“</w:t>
      </w:r>
      <w:r>
        <w:t xml:space="preserve">does anyone else do this?</w:t>
      </w:r>
      <w:r>
        <w:t xml:space="preserve">”</w:t>
      </w:r>
      <w:r>
        <w:t xml:space="preserve"> </w:t>
      </w:r>
      <w:r>
        <w:t xml:space="preserve">— A</w:t>
      </w:r>
      <w:bookmarkEnd w:id="80"/>
    </w:p>
    <w:p>
      <w:pPr>
        <w:pStyle w:val="Heading3"/>
        <w:keepNext/>
      </w:pPr>
      <w:bookmarkStart w:id="81" w:name="question-8"/>
      <w:r>
        <w:t xml:space="preserve">Question</w:t>
      </w:r>
      <w:bookmarkEnd w:id="81"/>
    </w:p>
    <w:p>
      <w:pPr>
        <w:pStyle w:val="FirstParagraph"/>
      </w:pPr>
      <w:r>
        <w:t xml:space="preserve">Does the manuscript acknowledge methods that already combine predicted or computed</w:t>
      </w:r>
      <w:r>
        <w:t xml:space="preserve"> </w:t>
      </w:r>
      <w:r>
        <w:t xml:space="preserve">physical descriptors with molecular learning, and is the remaining contribution</w:t>
      </w:r>
      <w:r>
        <w:t xml:space="preserve"> </w:t>
      </w:r>
      <w:r>
        <w:t xml:space="preserve">clear?</w:t>
      </w:r>
    </w:p>
    <w:p>
      <w:pPr>
        <w:pStyle w:val="Heading3"/>
        <w:keepNext/>
      </w:pPr>
      <w:bookmarkStart w:id="82" w:name="existing-evidence-2"/>
      <w:r>
        <w:t xml:space="preserve">Existing evidence</w:t>
      </w:r>
      <w:bookmarkEnd w:id="82"/>
    </w:p>
    <w:p>
      <w:pPr>
        <w:pStyle w:val="FirstParagraph"/>
      </w:pPr>
      <w:r>
        <w:t xml:space="preserve">The current Introduction now gives full credit to the closest lines:</w:t>
      </w:r>
    </w:p>
    <w:p>
      <w:pPr>
        <w:numPr>
          <w:ilvl w:val="0"/>
          <w:numId w:val="1004"/>
        </w:numPr>
        <w:pStyle w:val="Compact"/>
      </w:pPr>
      <w:r>
        <w:t xml:space="preserve">direct hydration learning and database-bias studies;</w:t>
      </w:r>
    </w:p>
    <w:p>
      <w:pPr>
        <w:numPr>
          <w:ilvl w:val="0"/>
          <w:numId w:val="1004"/>
        </w:numPr>
        <w:pStyle w:val="Compact"/>
      </w:pPr>
      <w:r>
        <w:t xml:space="preserve">computed-to-experimental transfer, including CombiSolv;</w:t>
      </w:r>
    </w:p>
    <w:p>
      <w:pPr>
        <w:numPr>
          <w:ilvl w:val="0"/>
          <w:numId w:val="1004"/>
        </w:numPr>
        <w:pStyle w:val="Compact"/>
      </w:pPr>
      <w:r>
        <w:t xml:space="preserve">single-calculator solvation surrogates;</w:t>
      </w:r>
    </w:p>
    <w:p>
      <w:pPr>
        <w:numPr>
          <w:ilvl w:val="0"/>
          <w:numId w:val="1004"/>
        </w:numPr>
        <w:pStyle w:val="Compact"/>
      </w:pPr>
      <w:r>
        <w:t xml:space="preserve">physically inspired hydration descriptors;</w:t>
      </w:r>
    </w:p>
    <w:p>
      <w:pPr>
        <w:numPr>
          <w:ilvl w:val="0"/>
          <w:numId w:val="1004"/>
        </w:numPr>
        <w:pStyle w:val="Compact"/>
      </w:pPr>
      <w:r>
        <w:t xml:space="preserve">per-query ML-PCM, 3D-RISM, ImPerHam and hybrid alchemical/ML representations;</w:t>
      </w:r>
    </w:p>
    <w:p>
      <w:pPr>
        <w:numPr>
          <w:ilvl w:val="0"/>
          <w:numId w:val="1004"/>
        </w:numPr>
        <w:pStyle w:val="Compact"/>
      </w:pPr>
      <w:r>
        <w:t xml:space="preserve">surrogate-predicted QM descriptors (ml-QM-GNN);</w:t>
      </w:r>
    </w:p>
    <w:p>
      <w:pPr>
        <w:numPr>
          <w:ilvl w:val="0"/>
          <w:numId w:val="1004"/>
        </w:numPr>
        <w:pStyle w:val="Compact"/>
      </w:pPr>
      <w:r>
        <w:t xml:space="preserve">controlled studies of when predicted QM descriptors help;</w:t>
      </w:r>
    </w:p>
    <w:p>
      <w:pPr>
        <w:numPr>
          <w:ilvl w:val="0"/>
          <w:numId w:val="1004"/>
        </w:numPr>
        <w:pStyle w:val="Compact"/>
      </w:pPr>
      <w:r>
        <w:t xml:space="preserve">surrogate-descriptor versus latent-representation studies; and</w:t>
      </w:r>
    </w:p>
    <w:p>
      <w:pPr>
        <w:numPr>
          <w:ilvl w:val="0"/>
          <w:numId w:val="1004"/>
        </w:numPr>
        <w:pStyle w:val="Compact"/>
      </w:pPr>
      <w:r>
        <w:t xml:space="preserve">the 2026 two-stage physically inspired hydration framework, the closest direct</w:t>
      </w:r>
      <w:r>
        <w:t xml:space="preserve"> </w:t>
      </w:r>
      <w:r>
        <w:t xml:space="preserve">architectural precedent.</w:t>
      </w:r>
    </w:p>
    <w:p>
      <w:pPr>
        <w:pStyle w:val="FirstParagraph"/>
      </w:pPr>
      <w:r>
        <w:t xml:space="preserve">The text explicitly says that these works establish the architectural ingredients.</w:t>
      </w:r>
      <w:r>
        <w:t xml:space="preserve"> </w:t>
      </w:r>
      <w:r>
        <w:t xml:space="preserve">It then states the narrower unresolved scientific question that the confirmatory</w:t>
      </w:r>
      <w:r>
        <w:t xml:space="preserve"> </w:t>
      </w:r>
      <w:r>
        <w:t xml:space="preserve">controls actually answer: whether a molecule-aligned layer assembled from calculated,</w:t>
      </w:r>
      <w:r>
        <w:t xml:space="preserve"> </w:t>
      </w:r>
      <w:r>
        <w:t xml:space="preserve">empirical and corrected solvation-response sources contributes beyond an otherwise</w:t>
      </w:r>
      <w:r>
        <w:t xml:space="preserve"> </w:t>
      </w:r>
      <w:r>
        <w:t xml:space="preserve">identical experimentally supervised endpoint after source calculations are removed</w:t>
      </w:r>
      <w:r>
        <w:t xml:space="preserve"> </w:t>
      </w:r>
      <w:r>
        <w:t xml:space="preserve">from inference.</w:t>
      </w:r>
    </w:p>
    <w:p>
      <w:pPr>
        <w:pStyle w:val="Heading3"/>
        <w:keepNext/>
      </w:pPr>
      <w:bookmarkStart w:id="83" w:name="exact-conclusion"/>
      <w:r>
        <w:t xml:space="preserve">Exact conclusion</w:t>
      </w:r>
      <w:bookmarkEnd w:id="83"/>
    </w:p>
    <w:p>
      <w:pPr>
        <w:pStyle w:val="FirstParagraph"/>
      </w:pPr>
      <w:r>
        <w:t xml:space="preserve">The answer to</w:t>
      </w:r>
      <w:r>
        <w:t xml:space="preserve"> </w:t>
      </w:r>
      <w:r>
        <w:t xml:space="preserve">“</w:t>
      </w:r>
      <w:r>
        <w:t xml:space="preserve">are there already other methods doing this?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yes for individual</w:t>
      </w:r>
      <w:r>
        <w:rPr>
          <w:b/>
        </w:rPr>
        <w:t xml:space="preserve"> </w:t>
      </w:r>
      <w:r>
        <w:rPr>
          <w:b/>
        </w:rPr>
        <w:t xml:space="preserve">ingredients and for two-stage predicted descriptors</w:t>
      </w:r>
      <w:r>
        <w:t xml:space="preserve">, and the manuscript now says so.</w:t>
      </w:r>
      <w:r>
        <w:t xml:space="preserve"> </w:t>
      </w:r>
      <w:r>
        <w:t xml:space="preserve">SolvAI’s supported contribution is the controlled multi-source solvent-response test,</w:t>
      </w:r>
      <w:r>
        <w:t xml:space="preserve"> </w:t>
      </w:r>
      <w:r>
        <w:t xml:space="preserve">not priority for two-stage learning. Its matched removal, molecule-response shuffling,</w:t>
      </w:r>
      <w:r>
        <w:t xml:space="preserve"> </w:t>
      </w:r>
      <w:r>
        <w:t xml:space="preserve">five partitions, global chemical separation and zero-ARROW transfer distinguish the</w:t>
      </w:r>
      <w:r>
        <w:t xml:space="preserve"> </w:t>
      </w:r>
      <w:r>
        <w:t xml:space="preserve">evidence. PIMD8 remains an accuracy comparator, not a retained teacher.</w:t>
      </w:r>
    </w:p>
    <w:p>
      <w:pPr>
        <w:pStyle w:val="BodyText"/>
      </w:pPr>
      <w:r>
        <w:t xml:space="preserve">No missing comparator was found that materially overturns this positioning. The</w:t>
      </w:r>
      <w:r>
        <w:t xml:space="preserve"> </w:t>
      </w:r>
      <w:r>
        <w:t xml:space="preserve">closest-paper audit is preserved in</w:t>
      </w:r>
      <w:r>
        <w:t xml:space="preserve"> </w:t>
      </w:r>
      <w:hyperlink r:id="rId84">
        <w:r>
          <w:rPr>
            <w:rStyle w:val="Hyperlink"/>
          </w:rPr>
          <w:t xml:space="preserve">reviews/NOVELTY_POSITIONING_AUDIT.md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reviews/NOVELTY_EDITORIAL_CHECK.md</w:t>
        </w:r>
      </w:hyperlink>
      <w:r>
        <w:t xml:space="preserve">.</w:t>
      </w:r>
    </w:p>
    <w:p>
      <w:pPr>
        <w:pStyle w:val="BodyText"/>
        <w:spacing w:before="100" w:after="160"/>
        <w:ind w:left="170" w:right="113"/>
        <w:shd w:fill="F3F5F7"/>
      </w:pPr>
      <w:r>
        <w:rPr>
          <w:b/>
        </w:rPr>
        <w:t xml:space="preserve">Recommendation:</w:t>
      </w:r>
      <w:r>
        <w:t xml:space="preserve"> </w:t>
      </w:r>
      <w:r>
        <w:t xml:space="preserve">No action. Reopening the literature section now would add volume,</w:t>
      </w:r>
      <w:r>
        <w:t xml:space="preserve"> </w:t>
      </w:r>
      <w:r>
        <w:t xml:space="preserve">not change the claim.</w:t>
      </w:r>
    </w:p>
    <w:p>
      <w:pPr>
        <w:pStyle w:val="Heading2"/>
        <w:keepNext/>
      </w:pPr>
      <w:bookmarkStart w:id="86" w:name="collaborator-facing-response"/>
      <w:r>
        <w:t xml:space="preserve">Collaborator-facing response</w:t>
      </w:r>
      <w:bookmarkEnd w:id="86"/>
    </w:p>
    <w:p>
      <w:pPr>
        <w:pStyle w:val="FirstParagraph"/>
      </w:pPr>
      <w:r>
        <w:t xml:space="preserve">We checked all eight questions against the frozen models and outputs, and ran only</w:t>
      </w:r>
      <w:r>
        <w:t xml:space="preserve"> </w:t>
      </w:r>
      <w:r>
        <w:t xml:space="preserve">descriptive analyses where the existing tables did not already give a direct answer.</w:t>
      </w:r>
      <w:r>
        <w:t xml:space="preserve"> </w:t>
      </w:r>
      <w:r>
        <w:t xml:space="preserve">The identity firewall is stronger than exact-SMILES exclusion: all ARROW-equivalent</w:t>
      </w:r>
      <w:r>
        <w:t xml:space="preserve"> </w:t>
      </w:r>
      <w:r>
        <w:t xml:space="preserve">endpoint records are absent, standardized tautomer/parent matches were removed from</w:t>
      </w:r>
      <w:r>
        <w:t xml:space="preserve"> </w:t>
      </w:r>
      <w:r>
        <w:t xml:space="preserve">three teacher sources, and those teachers and all confirmatory endpoints were refit.</w:t>
      </w:r>
      <w:r>
        <w:t xml:space="preserve"> </w:t>
      </w:r>
      <w:r>
        <w:t xml:space="preserve">Teacher-dataset coverage does not impose an inference lookup requirement—the frozen</w:t>
      </w:r>
      <w:r>
        <w:t xml:space="preserve"> </w:t>
      </w:r>
      <w:r>
        <w:t xml:space="preserve">surrogates produce every response prior from a new SMILES—but validation remains</w:t>
      </w:r>
      <w:r>
        <w:t xml:space="preserve"> </w:t>
      </w:r>
      <w:r>
        <w:t xml:space="preserve">limited to neutral small-organic chemistry.</w:t>
      </w:r>
    </w:p>
    <w:p>
      <w:pPr>
        <w:pStyle w:val="BodyText"/>
      </w:pPr>
      <w:r>
        <w:t xml:space="preserve">The response gain is real but not attributable to one magic teacher. The strongest</w:t>
      </w:r>
      <w:r>
        <w:t xml:space="preserve"> </w:t>
      </w:r>
      <w:r>
        <w:t xml:space="preserve">isolated block is the empirical/residual-corrected response set (0.243 versus 0.303),</w:t>
      </w:r>
      <w:r>
        <w:t xml:space="preserve"> </w:t>
      </w:r>
      <w:r>
        <w:t xml:space="preserve">the compact narrow stack supplies most of the improvement (0.212), and the complete</w:t>
      </w:r>
      <w:r>
        <w:t xml:space="preserve"> </w:t>
      </w:r>
      <w:r>
        <w:t xml:space="preserve">15-prior model reaches 0.202; shuffling the priors returns performance to 0.307. SMD</w:t>
      </w:r>
      <w:r>
        <w:t xml:space="preserve"> </w:t>
      </w:r>
      <w:r>
        <w:t xml:space="preserve">and ConfSolv provide small conditional point improvements that are not separately</w:t>
      </w:r>
      <w:r>
        <w:t xml:space="preserve"> </w:t>
      </w:r>
      <w:r>
        <w:t xml:space="preserve">resolved. The worst SolvAI cases include methane, tert-butanol, amides and several</w:t>
      </w:r>
      <w:r>
        <w:t xml:space="preserve"> </w:t>
      </w:r>
      <w:r>
        <w:t xml:space="preserve">aromatics; only one of the nine errors above 0.5 kcal mol</w:t>
      </w:r>
      <m:oMath>
        <m:sSup>
          <m:e>
            <m:r>
              <m:t>​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above 0.5</w:t>
      </w:r>
      <w:r>
        <w:t xml:space="preserve"> </w:t>
      </w:r>
      <w:r>
        <w:t xml:space="preserve">for PIMD8.</w:t>
      </w:r>
    </w:p>
    <w:p>
      <w:pPr>
        <w:pStyle w:val="BodyText"/>
      </w:pPr>
      <w:r>
        <w:t xml:space="preserve">The proposed old 19-parameter baseline cannot be reproduced without its exact model</w:t>
      </w:r>
      <w:r>
        <w:t xml:space="preserve"> </w:t>
      </w:r>
      <w:r>
        <w:t xml:space="preserve">specification, so we recommend showing the matched 0.303 control and classical ARROW</w:t>
      </w:r>
      <w:r>
        <w:t xml:space="preserve"> </w:t>
      </w:r>
      <w:r>
        <w:t xml:space="preserve">at 0.785 rather than inventing a substitute. The failed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experiment should</w:t>
      </w:r>
      <w:r>
        <w:t xml:space="preserve"> </w:t>
      </w:r>
      <w:r>
        <w:t xml:space="preserve">be described more precisely: its errors are large, and its sparse component curves</w:t>
      </w:r>
      <w:r>
        <w:t xml:space="preserve"> </w:t>
      </w:r>
      <w:r>
        <w:t xml:space="preserve">are protocol-dependent rather than unique molecular ground truth. A blind challenge</w:t>
      </w:r>
      <w:r>
        <w:t xml:space="preserve"> </w:t>
      </w:r>
      <w:r>
        <w:t xml:space="preserve">is worthwhile only if Boris freezes a panel before prediction; aspartic acid is not a</w:t>
      </w:r>
      <w:r>
        <w:t xml:space="preserve"> </w:t>
      </w:r>
      <w:r>
        <w:t xml:space="preserve">clean neutral-solute test. Octanol is a separate project: the clean direct dataset is</w:t>
      </w:r>
      <w:r>
        <w:t xml:space="preserve"> </w:t>
      </w:r>
      <w:r>
        <w:t xml:space="preserve">only about 252 neutral solutes, the larger set is largely partition-derived, and ten</w:t>
      </w:r>
      <w:r>
        <w:t xml:space="preserve"> </w:t>
      </w:r>
      <w:r>
        <w:t xml:space="preserve">of the 15 current priors are water-specific. We therefore recommend no octanol</w:t>
      </w:r>
      <w:r>
        <w:t xml:space="preserve"> </w:t>
      </w:r>
      <w:r>
        <w:t xml:space="preserve">extension before submission and no further literature rewrite.</w:t>
      </w:r>
    </w:p>
    <w:p>
      <w:pPr>
        <w:spacing w:before="240"/>
        <w:pBdr>
          <w:bottom w:val="single" w:sz="6" w:space="4" w:color="F3F5F7"/>
        </w:pBdr>
      </w:pPr>
      <w:r>
        <w:rPr>
          <w:rFonts w:ascii="Aptos" w:hAnsi="Aptos" w:eastAsia="Aptos"/>
          <w:color w:val="6B7280"/>
          <w:sz w:val="16"/>
        </w:rPr>
        <w:t>Evidence repository: https://github.com/Scientific-Computing-Lab/SolvAI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35" w:left="1020" w:header="425" w:footer="425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B7280"/>
        <w:sz w:val="16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B9C5D1"/>
      </w:pBdr>
    </w:pPr>
    <w:r>
      <w:rPr>
        <w:rFonts w:ascii="Aptos" w:hAnsi="Aptos" w:eastAsia="Aptos"/>
        <w:b/>
        <w:color w:val="6B7280"/>
        <w:sz w:val="16"/>
      </w:rPr>
      <w:t>SolvAI  ·  Collaborator follow-up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 w:eastAsia="Aptos"/>
      <w:color w:val="20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367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85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1685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ptos" w:hAnsi="Aptos" w:eastAsia="Aptos"/>
      <w:color w:val="202B35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120"/>
      <w:ind w:left="255" w:right="142"/>
    </w:pPr>
    <w:rPr>
      <w:rFonts w:ascii="Aptos Mono" w:hAnsi="Aptos Mono" w:eastAsia="Aptos Mono"/>
      <w:color w:val="17324D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7" Type="http://schemas.openxmlformats.org/officeDocument/2006/relationships/hyperlink" Target="https://doi.org/10.1021/acs.jcim.1c01103" TargetMode="External"/><Relationship Id="rId20" Type="http://schemas.openxmlformats.org/officeDocument/2006/relationships/hyperlink" Target="https://github.com/Scientific-Computing-Lab/SolvAI" TargetMode="External"/><Relationship Id="rId37" Type="http://schemas.openxmlformats.org/officeDocument/2006/relationships/hyperlink" Target="https://github.com/Scientific-Computing-Lab/SolvAI/blob/main/audits/confirmatory/chemical_identity_matches.csv" TargetMode="External"/><Relationship Id="rId35" Type="http://schemas.openxmlformats.org/officeDocument/2006/relationships/hyperlink" Target="https://github.com/Scientific-Computing-Lab/SolvAI/blob/main/audits/confirmatory/standardized_exclusion_records.csv" TargetMode="External"/><Relationship Id="rId36" Type="http://schemas.openxmlformats.org/officeDocument/2006/relationships/hyperlink" Target="https://github.com/Scientific-Computing-Lab/SolvAI/blob/main/audits/confirmatory/standardized_exclusion_refit_verification.json" TargetMode="External"/><Relationship Id="rId34" Type="http://schemas.openxmlformats.org/officeDocument/2006/relationships/hyperlink" Target="https://github.com/Scientific-Computing-Lab/SolvAI/blob/main/audits/leakage_audit.md" TargetMode="External"/><Relationship Id="rId51" Type="http://schemas.openxmlformats.org/officeDocument/2006/relationships/hyperlink" Target="https://github.com/Scientific-Computing-Lab/SolvAI/blob/main/paper/supplementary/tables/response_priors.tex" TargetMode="External"/><Relationship Id="rId67" Type="http://schemas.openxmlformats.org/officeDocument/2006/relationships/hyperlink" Target="https://github.com/Scientific-Computing-Lab/SolvAI/blob/main/reports/LAMBDA_RESPONSE_EXPERIMENT.md" TargetMode="External"/><Relationship Id="rId62" Type="http://schemas.openxmlformats.org/officeDocument/2006/relationships/hyperlink" Target="https://github.com/Scientific-Computing-Lab/SolvAI/blob/main/results/followup_audit/hard_case_audit.csv" TargetMode="External"/><Relationship Id="rId63" Type="http://schemas.openxmlformats.org/officeDocument/2006/relationships/hyperlink" Target="https://github.com/Scientific-Computing-Lab/SolvAI/blob/main/results/followup_audit/hard_case_group_summary.csv" TargetMode="External"/><Relationship Id="rId46" Type="http://schemas.openxmlformats.org/officeDocument/2006/relationships/hyperlink" Target="https://github.com/Scientific-Computing-Lab/SolvAI/blob/main/results/followup_audit/source_block_summary.csv" TargetMode="External"/><Relationship Id="rId47" Type="http://schemas.openxmlformats.org/officeDocument/2006/relationships/hyperlink" Target="https://github.com/Scientific-Computing-Lab/SolvAI/blob/main/results/followup_audit/teacher_fidelity_summary.csv" TargetMode="External"/><Relationship Id="rId56" Type="http://schemas.openxmlformats.org/officeDocument/2006/relationships/hyperlink" Target="https://github.com/Scientific-Computing-Lab/SolvAI/blob/main/results/paper_metrics.json" TargetMode="External"/><Relationship Id="rId85" Type="http://schemas.openxmlformats.org/officeDocument/2006/relationships/hyperlink" Target="https://github.com/Scientific-Computing-Lab/SolvAI/blob/main/reviews/NOVELTY_EDITORIAL_CHECK.md" TargetMode="External"/><Relationship Id="rId84" Type="http://schemas.openxmlformats.org/officeDocument/2006/relationships/hyperlink" Target="https://github.com/Scientific-Computing-Lab/SolvAI/blob/main/reviews/NOVELTY_POSITIONING_AUDIT.md" TargetMode="External"/><Relationship Id="rId52" Type="http://schemas.openxmlformats.org/officeDocument/2006/relationships/hyperlink" Target="https://github.com/Scientific-Computing-Lab/SolvAI/blob/main/solv_ai/teachers.py" TargetMode="External"/><Relationship Id="rId22" Type="http://schemas.openxmlformats.org/officeDocument/2006/relationships/hyperlink" Target="https://github.com/Scientific-Computing-Lab/SolvAI/tree/main/results/followup_audit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https://doi.org/10.1021/acs.jcim.1c01103" TargetMode="External"/><Relationship Id="rId20" Type="http://schemas.openxmlformats.org/officeDocument/2006/relationships/hyperlink" Target="https://github.com/Scientific-Computing-Lab/SolvAI" TargetMode="External"/><Relationship Id="rId37" Type="http://schemas.openxmlformats.org/officeDocument/2006/relationships/hyperlink" Target="https://github.com/Scientific-Computing-Lab/SolvAI/blob/main/audits/confirmatory/chemical_identity_matches.csv" TargetMode="External"/><Relationship Id="rId35" Type="http://schemas.openxmlformats.org/officeDocument/2006/relationships/hyperlink" Target="https://github.com/Scientific-Computing-Lab/SolvAI/blob/main/audits/confirmatory/standardized_exclusion_records.csv" TargetMode="External"/><Relationship Id="rId36" Type="http://schemas.openxmlformats.org/officeDocument/2006/relationships/hyperlink" Target="https://github.com/Scientific-Computing-Lab/SolvAI/blob/main/audits/confirmatory/standardized_exclusion_refit_verification.json" TargetMode="External"/><Relationship Id="rId34" Type="http://schemas.openxmlformats.org/officeDocument/2006/relationships/hyperlink" Target="https://github.com/Scientific-Computing-Lab/SolvAI/blob/main/audits/leakage_audit.md" TargetMode="External"/><Relationship Id="rId51" Type="http://schemas.openxmlformats.org/officeDocument/2006/relationships/hyperlink" Target="https://github.com/Scientific-Computing-Lab/SolvAI/blob/main/paper/supplementary/tables/response_priors.tex" TargetMode="External"/><Relationship Id="rId67" Type="http://schemas.openxmlformats.org/officeDocument/2006/relationships/hyperlink" Target="https://github.com/Scientific-Computing-Lab/SolvAI/blob/main/reports/LAMBDA_RESPONSE_EXPERIMENT.md" TargetMode="External"/><Relationship Id="rId62" Type="http://schemas.openxmlformats.org/officeDocument/2006/relationships/hyperlink" Target="https://github.com/Scientific-Computing-Lab/SolvAI/blob/main/results/followup_audit/hard_case_audit.csv" TargetMode="External"/><Relationship Id="rId63" Type="http://schemas.openxmlformats.org/officeDocument/2006/relationships/hyperlink" Target="https://github.com/Scientific-Computing-Lab/SolvAI/blob/main/results/followup_audit/hard_case_group_summary.csv" TargetMode="External"/><Relationship Id="rId46" Type="http://schemas.openxmlformats.org/officeDocument/2006/relationships/hyperlink" Target="https://github.com/Scientific-Computing-Lab/SolvAI/blob/main/results/followup_audit/source_block_summary.csv" TargetMode="External"/><Relationship Id="rId47" Type="http://schemas.openxmlformats.org/officeDocument/2006/relationships/hyperlink" Target="https://github.com/Scientific-Computing-Lab/SolvAI/blob/main/results/followup_audit/teacher_fidelity_summary.csv" TargetMode="External"/><Relationship Id="rId56" Type="http://schemas.openxmlformats.org/officeDocument/2006/relationships/hyperlink" Target="https://github.com/Scientific-Computing-Lab/SolvAI/blob/main/results/paper_metrics.json" TargetMode="External"/><Relationship Id="rId85" Type="http://schemas.openxmlformats.org/officeDocument/2006/relationships/hyperlink" Target="https://github.com/Scientific-Computing-Lab/SolvAI/blob/main/reviews/NOVELTY_EDITORIAL_CHECK.md" TargetMode="External"/><Relationship Id="rId84" Type="http://schemas.openxmlformats.org/officeDocument/2006/relationships/hyperlink" Target="https://github.com/Scientific-Computing-Lab/SolvAI/blob/main/reviews/NOVELTY_POSITIONING_AUDIT.md" TargetMode="External"/><Relationship Id="rId52" Type="http://schemas.openxmlformats.org/officeDocument/2006/relationships/hyperlink" Target="https://github.com/Scientific-Computing-Lab/SolvAI/blob/main/solv_ai/teachers.py" TargetMode="External"/><Relationship Id="rId22" Type="http://schemas.openxmlformats.org/officeDocument/2006/relationships/hyperlink" Target="https://github.com/Scientific-Computing-Lab/SolvAI/tree/main/results/followup_au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SolvAI collaborator follow-up audit</dc:title>
  <dc:creator/>
  <cp:keywords>SolvAI, hydration free energy, response distillation</cp:keywords>
  <dcterms:created xsi:type="dcterms:W3CDTF">2026-08-28T23:49:10Z</dcterms:created>
  <dcterms:modified xsi:type="dcterms:W3CDTF">2026-08-28T23:49:10Z</dcterms:modified>
  <dc:subject>Evidence review and Nature Communications submission decisions</dc:subject>
  <dc:description>Generated from frozen repository evidence.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August 2026</vt:lpwstr>
  </property>
  <property fmtid="{D5CDD505-2E9C-101B-9397-08002B2CF9AE}" pid="3" name="subtitle">
    <vt:lpwstr>Answers to the scientific questions raised by Michael Levitt and Boris</vt:lpwstr>
  </property>
</Properties>
</file>