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VineWeave Canopy：内容完整性复核、修订大纲与材料覆盖表</w:t>
      </w:r>
    </w:p>
    <w:p>
      <w:pPr/>
      <w:r>
        <w:t>状态更新：已依据本报告制作20页第二版，见 presentation/v2。以下保留修订前的规划与材料复核；实际第二版覆盖情况以 presentation/v2/Changes-and-Coverage.md 为准。第一页已按后续要求改成标题主导封面。</w:t>
      </w:r>
    </w:p>
    <w:p>
      <w:pPr>
        <w:pStyle w:val="Heading1"/>
      </w:pPr>
      <w:r>
        <w:t>一、对第一版的判断</w:t>
      </w:r>
    </w:p>
    <w:p>
      <w:pPr/>
      <w:r>
        <w:t>第一版侧重清爽和留白，但过度删减了方法、选型理由、输入条件及结果解释，导致观众看见数字却不容易理解团队如何得到结论。大量“待验证”提醒也挤占了正面工作说明的空间。应保留必要边界，但让页面首先展示团队做过的工作与判断。</w:t>
      </w:r>
    </w:p>
    <w:p>
      <w:pPr/>
      <w:r>
        <w:t>典型问题：</w:t>
      </w:r>
    </w:p>
    <w:p>
      <w:pPr>
        <w:pStyle w:val="ListBullet"/>
      </w:pPr>
      <w:r>
        <w:t>植物选择位于第一版第10页，但仅有三张候选卡，没有完整呈现筛选逻辑、推荐组合、落选原因、养护与性能接口。</w:t>
      </w:r>
    </w:p>
    <w:p>
      <w:pPr>
        <w:pStyle w:val="ListBullet"/>
      </w:pPr>
      <w:r>
        <w:t>材料比较只展示三类材料的导热/碳因子，未充分解释力学、成本、耐久及最终角色分配。</w:t>
      </w:r>
    </w:p>
    <w:p>
      <w:pPr>
        <w:pStyle w:val="ListBullet"/>
      </w:pPr>
      <w:r>
        <w:t>参数模型有冠幅、冠高、圆角三类，第一版只展示冠幅；完整研究范围没有被观众看见。</w:t>
      </w:r>
    </w:p>
    <w:p>
      <w:pPr>
        <w:pStyle w:val="ListBullet"/>
      </w:pPr>
      <w:r>
        <w:t>覆盖模拟有五档、空间分布敏感性与精度检查，第一版只讲三档结果，方法与意义不足。</w:t>
      </w:r>
    </w:p>
    <w:p>
      <w:pPr>
        <w:pStyle w:val="ListBullet"/>
      </w:pPr>
      <w:r>
        <w:t>施工、材料、植物与遮阴之间的连接较弱；应明确“植物湿重影响结构，节点影响施工，植物覆盖影响遮阴”。</w:t>
      </w:r>
    </w:p>
    <w:p>
      <w:pPr/>
      <w:r>
        <w:t>下一版应以“问题—方法/判断—成果—设计意义”组织技术页。不把整份报告复制上屏，也不再把必要解释全部移到备注。</w:t>
      </w:r>
    </w:p>
    <w:p>
      <w:pPr>
        <w:pStyle w:val="Heading1"/>
      </w:pPr>
      <w:r>
        <w:t>二、建议修订为20页</w:t>
      </w:r>
    </w:p>
    <w:p>
      <w:pPr/>
      <w:r>
        <w:t>20页包含参考页，满足用户明确的“20页以内”。19页主讲需控制在约8.5—9分钟，再留2—3分钟问答。新增一页“植物建立与投用进程”，不增加街景渲染或传感器专题。最终时间仍需排练，不由页数保证。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页</w:t>
            </w:r>
          </w:p>
        </w:tc>
        <w:tc>
          <w:tcPr>
            <w:tcW w:type="dxa" w:w="2160"/>
          </w:tcPr>
          <w:p>
            <w:r>
              <w:t>页面主题 / 英文候选标题</w:t>
            </w:r>
          </w:p>
        </w:tc>
        <w:tc>
          <w:tcPr>
            <w:tcW w:type="dxa" w:w="2160"/>
          </w:tcPr>
          <w:p>
            <w:r>
              <w:t>应完整解释的工作内容</w:t>
            </w:r>
          </w:p>
        </w:tc>
        <w:tc>
          <w:tcPr>
            <w:tcW w:type="dxa" w:w="2160"/>
          </w:tcPr>
          <w:p>
            <w:r>
              <w:t>主要图表与讲述抓手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项目封面 / VineWeave Canopy</w:t>
            </w:r>
          </w:p>
        </w:tc>
        <w:tc>
          <w:tcPr>
            <w:tcW w:type="dxa" w:w="2160"/>
          </w:tcPr>
          <w:p>
            <w:r>
              <w:t>主标题与项目说明为核心，模型辅助；五位成员核心职责按截图简写为底部信息带</w:t>
            </w:r>
          </w:p>
        </w:tc>
        <w:tc>
          <w:tcPr>
            <w:tcW w:type="dxa" w:w="2160"/>
          </w:tcPr>
          <w:p>
            <w:r>
              <w:t>标题主导；分工占约15%—20%，不再用大表格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任务转译与设计策略 / From Brief to Design Strategy</w:t>
            </w:r>
          </w:p>
        </w:tc>
        <w:tc>
          <w:tcPr>
            <w:tcW w:type="dxa" w:w="2160"/>
          </w:tcPr>
          <w:p>
            <w:r>
              <w:t>将遮荫设施任务转译为材料、几何、冠层布局、通风和模块化五项设计要求；对应团队成果</w:t>
            </w:r>
          </w:p>
        </w:tc>
        <w:tc>
          <w:tcPr>
            <w:tcW w:type="dxa" w:w="2160"/>
          </w:tcPr>
          <w:p>
            <w:r>
              <w:t>五项要求—对应响应；说明为何采用植物与支架结合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参数化建模与最终几何 / Parametric Workflow and Final Geometry</w:t>
            </w:r>
          </w:p>
        </w:tc>
        <w:tc>
          <w:tcPr>
            <w:tcW w:type="dxa" w:w="2160"/>
          </w:tcPr>
          <w:p>
            <w:r>
              <w:t>Rhino/Grasshopper工作路径、冠幅/高度/圆角等控制、59杆件与最终尺寸；不讲历史方案演变</w:t>
            </w:r>
          </w:p>
        </w:tc>
        <w:tc>
          <w:tcPr>
            <w:tcW w:type="dxa" w:w="2160"/>
          </w:tcPr>
          <w:p>
            <w:r>
              <w:t>可编辑工作流程＋模型及带关键尺寸的平立面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冠层与使用空间 / Crown Layout and Pedestrian Space</w:t>
            </w:r>
          </w:p>
        </w:tc>
        <w:tc>
          <w:tcPr>
            <w:tcW w:type="dxa" w:w="2160"/>
          </w:tcPr>
          <w:p>
            <w:r>
              <w:t>宽冠、中央开口、支撑汇聚和开敞侧界各自承担什么功能；结构孔与叶面孔区分</w:t>
            </w:r>
          </w:p>
        </w:tc>
        <w:tc>
          <w:tcPr>
            <w:tcW w:type="dxa" w:w="2160"/>
          </w:tcPr>
          <w:p>
            <w:r>
              <w:t>俯视/剖面分层标注；植物包络非已成冠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分区材料与用量 / Material Zoning and Quantity Take-off</w:t>
            </w:r>
          </w:p>
        </w:tc>
        <w:tc>
          <w:tcPr>
            <w:tcW w:type="dxa" w:w="2160"/>
          </w:tcPr>
          <w:p>
            <w:r>
              <w:t>12钢支撑/47拟议工程竹冠杆的角色；69.38/219.28m与总量288.66m；外径和材料截面区分</w:t>
            </w:r>
          </w:p>
        </w:tc>
        <w:tc>
          <w:tcPr>
            <w:tcW w:type="dxa" w:w="2160"/>
          </w:tcPr>
          <w:p>
            <w:r>
              <w:t>两色模型＋短规格/用量表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材料比较与选择理由 / Material Screening and Selection</w:t>
            </w:r>
          </w:p>
        </w:tc>
        <w:tc>
          <w:tcPr>
            <w:tcW w:type="dxa" w:w="2160"/>
          </w:tcPr>
          <w:p>
            <w:r>
              <w:t>从钢、工程竹、木材、原竹等代表中比较承载/刚度适用性、耐久、导热、碳排与成本；解释最终取舍</w:t>
            </w:r>
          </w:p>
        </w:tc>
        <w:tc>
          <w:tcPr>
            <w:tcW w:type="dxa" w:w="2160"/>
          </w:tcPr>
          <w:p>
            <w:r>
              <w:t>精选对比矩阵；全9种材料与主观权重留讲稿，不做已认证排名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节点与挠度控制 / Connections and Deflection Control</w:t>
            </w:r>
          </w:p>
        </w:tc>
        <w:tc>
          <w:tcPr>
            <w:tcW w:type="dxa" w:w="2160"/>
          </w:tcPr>
          <w:p>
            <w:r>
              <w:t>自重与假定湿叶荷载如何进入简化梁；简支与理想固定端为何不同；节点构造需要实现什么约束</w:t>
            </w:r>
          </w:p>
        </w:tc>
        <w:tc>
          <w:tcPr>
            <w:tcW w:type="dxa" w:w="2160"/>
          </w:tcPr>
          <w:p>
            <w:r>
              <w:t>6.65m跨度、约101/20mm与L/200=33.25mm；拟议节点示意和待验证条件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成本组成与施工代价 / Cost Breakdown and Key Drivers</w:t>
            </w:r>
          </w:p>
        </w:tc>
        <w:tc>
          <w:tcPr>
            <w:tcW w:type="dxa" w:w="2160"/>
          </w:tcPr>
          <w:p>
            <w:r>
              <w:t>七类成本、总额51676CNY、材料59.1%、节点12000CNY；解释不是材料单价相加</w:t>
            </w:r>
          </w:p>
        </w:tc>
        <w:tc>
          <w:tcPr>
            <w:tcW w:type="dxa" w:w="2160"/>
          </w:tcPr>
          <w:p>
            <w:r>
              <w:t>原生条形图＋关键构件小表/一条成本判断；完整单价在备注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隐含碳与维护 / Embodied Carbon and Maintenance</w:t>
            </w:r>
          </w:p>
        </w:tc>
        <w:tc>
          <w:tcPr>
            <w:tcW w:type="dxa" w:w="2160"/>
          </w:tcPr>
          <w:p>
            <w:r>
              <w:t>约2820kgCO₂e的主体/配重/其他组成；材料处理、竹材更换和节点检查影响长期使用</w:t>
            </w:r>
          </w:p>
        </w:tc>
        <w:tc>
          <w:tcPr>
            <w:tcW w:type="dxa" w:w="2160"/>
          </w:tcPr>
          <w:p>
            <w:r>
              <w:t>碳组成＋维护责任；不恢复整套方案比较或未经核验减排率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植物筛选与推荐配置 / Climber Selection and Planting Strategy</w:t>
            </w:r>
          </w:p>
        </w:tc>
        <w:tc>
          <w:tcPr>
            <w:tcW w:type="dxa" w:w="2160"/>
          </w:tcPr>
          <w:p>
            <w:r>
              <w:t>依据攀附方式、季节性、湿重、公共空间安全与维护筛选；说明主选、搭配和备选；为何谨慎/不选其他候选</w:t>
            </w:r>
          </w:p>
        </w:tc>
        <w:tc>
          <w:tcPr>
            <w:tcW w:type="dxa" w:w="2160"/>
          </w:tcPr>
          <w:p>
            <w:r>
              <w:t>候选筛选小表＋原材料推荐每单元2株爬山虎/1株使君子示意；凌霄备选及地方适生提醒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植物建立与投用进程 / Establishment and Operational Readiness</w:t>
            </w:r>
          </w:p>
        </w:tc>
        <w:tc>
          <w:tcPr>
            <w:tcW w:type="dxa" w:w="2160"/>
          </w:tcPr>
          <w:p>
            <w:r>
              <w:t>结构验收后可开放与植被达到遮阴目标是不同节点；生长、覆盖、养护及季节如何影响性能；需要多长时间必须有依据</w:t>
            </w:r>
          </w:p>
        </w:tc>
        <w:tc>
          <w:tcPr>
            <w:tcW w:type="dxa" w:w="2160"/>
          </w:tcPr>
          <w:p>
            <w:r>
              <w:t>新增时间图；现有资料不足时先用待校准里程碑/空缺时间栏，不绘制伪造月份曲线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遮阴、蒸腾与通风机制 / Shade, Plant Processes and Airflow</w:t>
            </w:r>
          </w:p>
        </w:tc>
        <w:tc>
          <w:tcPr>
            <w:tcW w:type="dxa" w:w="2160"/>
          </w:tcPr>
          <w:p>
            <w:r>
              <w:t>遮阴减少直射暴露；蒸腾依赖供水；高覆盖与气流阻力存在权衡；指出本项目实际算了什么</w:t>
            </w:r>
          </w:p>
        </w:tc>
        <w:tc>
          <w:tcPr>
            <w:tcW w:type="dxa" w:w="2160"/>
          </w:tcPr>
          <w:p>
            <w:r>
              <w:t>一张清晰剖面＋三机制；通风箭头是意图，不称CFD结论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分析方法与评价指标 / Method, Assumptions and Metrics</w:t>
            </w:r>
          </w:p>
        </w:tc>
        <w:tc>
          <w:tcPr>
            <w:tcW w:type="dxa" w:w="2160"/>
          </w:tcPr>
          <w:p>
            <w:r>
              <w:t>30°N、朝向、真太阳时、23.23m²目标区、中央孔及叶面；区分理想重合率和等效直射阻断率；展示扣重叠逻辑</w:t>
            </w:r>
          </w:p>
        </w:tc>
        <w:tc>
          <w:tcPr>
            <w:tcW w:type="dxa" w:w="2160"/>
          </w:tcPr>
          <w:p>
            <w:r>
              <w:t>项目计算流程＋指标定义/简短公式；复杂推导备注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时段与季节太阳条件下的遮阴 / Time-dependent Shade Performance</w:t>
            </w:r>
          </w:p>
        </w:tc>
        <w:tc>
          <w:tcPr>
            <w:tcW w:type="dxa" w:w="2160"/>
          </w:tcPr>
          <w:p>
            <w:r>
              <w:t>夏至三时刻47.2/98.7/47.2%和均值75.3%的含义；春秋分仅作太阳条件对照，不冒充植物季节规律</w:t>
            </w:r>
          </w:p>
        </w:tc>
        <w:tc>
          <w:tcPr>
            <w:tcW w:type="dxa" w:w="2160"/>
          </w:tcPr>
          <w:p>
            <w:r>
              <w:t>三时刻阴影＋时段小曲线；解释目标区与完整阴影的差别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结构参数敏感性 / Geometry Sensitivity</w:t>
            </w:r>
          </w:p>
        </w:tc>
        <w:tc>
          <w:tcPr>
            <w:tcW w:type="dxa" w:w="2160"/>
          </w:tcPr>
          <w:p>
            <w:r>
              <w:t>告诉观众已研究冠幅、上部高度控制、圆角共7模型；主讲冠幅50%覆盖52.3/60.2/66.1%；概括其余研究但不挤完整矩阵</w:t>
            </w:r>
          </w:p>
        </w:tc>
        <w:tc>
          <w:tcPr>
            <w:tcW w:type="dxa" w:w="2160"/>
          </w:tcPr>
          <w:p>
            <w:r>
              <w:t>三模型＋原生图；角落列研究范围；相同覆盖不代表相同材料/叶片投入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覆盖量与空间分布 / Plant Cover and Spatial Distribution</w:t>
            </w:r>
          </w:p>
        </w:tc>
        <w:tc>
          <w:tcPr>
            <w:tcW w:type="dxa" w:w="2160"/>
          </w:tcPr>
          <w:p>
            <w:r>
              <w:t>五档0/20/50/80/95%及均值40.2/48.6/60.2/67.9/70.7%；相同50%覆盖位置不同也会改变遮挡</w:t>
            </w:r>
          </w:p>
        </w:tc>
        <w:tc>
          <w:tcPr>
            <w:tcW w:type="dxa" w:w="2160"/>
          </w:tcPr>
          <w:p>
            <w:r>
              <w:t>覆盖动画＋五点原生曲线；分布敏感性作一个对照标注或讲稿，不叠加大热图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应用布置与验证 / Application and Validation</w:t>
            </w:r>
          </w:p>
        </w:tc>
        <w:tc>
          <w:tcPr>
            <w:tcW w:type="dxa" w:w="2160"/>
          </w:tcPr>
          <w:p>
            <w:r>
              <w:t>按使用时段布置停留区；通行、根区、配重与养护占用；真实净可用面积还需校核；如何验证实际效果</w:t>
            </w:r>
          </w:p>
        </w:tc>
        <w:tc>
          <w:tcPr>
            <w:tcW w:type="dxa" w:w="2160"/>
          </w:tcPr>
          <w:p>
            <w:r>
              <w:t>日内阴影动画/静态图＋座椅概念布局；不新增街景或传感器专题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模块化与施工组织 / Modular Build-up and Construction</w:t>
            </w:r>
          </w:p>
        </w:tc>
        <w:tc>
          <w:tcPr>
            <w:tcW w:type="dxa" w:w="2160"/>
          </w:tcPr>
          <w:p>
            <w:r>
              <w:t>预制、编号、模块接口、运输、吊装、刚接与灌浆、养护、种植；14人工日估算及装配优势/约束</w:t>
            </w:r>
          </w:p>
        </w:tc>
        <w:tc>
          <w:tcPr>
            <w:tcW w:type="dxa" w:w="2160"/>
          </w:tcPr>
          <w:p>
            <w:r>
              <w:t>模块分解＋五阶段流程；说明不是纯干式、完全可逆或14天工期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工作总结与下一步 / What We Delivered and What Comes Next</w:t>
            </w:r>
          </w:p>
        </w:tc>
        <w:tc>
          <w:tcPr>
            <w:tcW w:type="dxa" w:w="2160"/>
          </w:tcPr>
          <w:p>
            <w:r>
              <w:t>明确团队交付了几何、材料与预算、建造策略、遮阴和敏感性；列出最关键待验证项</w:t>
            </w:r>
          </w:p>
        </w:tc>
        <w:tc>
          <w:tcPr>
            <w:tcW w:type="dxa" w:w="2160"/>
          </w:tcPr>
          <w:p>
            <w:r>
              <w:t>成果链总结，避免只列免责声明或无数据的新结论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参考与项目来源 / References and Project Evidence</w:t>
            </w:r>
          </w:p>
        </w:tc>
        <w:tc>
          <w:tcPr>
            <w:tcW w:type="dxa" w:w="2160"/>
          </w:tcPr>
          <w:p>
            <w:r>
              <w:t>正文实际引用文献、项目模型、工作簿与模拟包；未核原文不伪装成已核依据</w:t>
            </w:r>
          </w:p>
        </w:tc>
        <w:tc>
          <w:tcPr>
            <w:tcW w:type="dxa" w:w="2160"/>
          </w:tcPr>
          <w:p>
            <w:r>
              <w:t>简洁参考页/问答入口，完整书目与参数明细配套文档</w:t>
            </w:r>
          </w:p>
        </w:tc>
      </w:tr>
    </w:tbl>
    <w:p>
      <w:pPr/>
      <w:r>
        <w:t>20页安排尚为修订建议，本轮未重做PPT。若课程另有严格“小于20页”解释，则将成本与碳排合并或把通用机制融入方法页，需再检查可读性，不能简单缩小字体。</w:t>
      </w:r>
    </w:p>
    <w:p>
      <w:pPr>
        <w:pStyle w:val="Heading1"/>
      </w:pPr>
      <w:r>
        <w:t>三、植物选择应补回的内容</w:t>
      </w:r>
    </w:p>
    <w:p>
      <w:pPr/>
      <w:r>
        <w:t>第一版第10页只显示Boston ivy、Trumpet creeper、Rangoon creeper及攀附方式，不能完整代表已经完成的植物工作。</w:t>
      </w:r>
    </w:p>
    <w:p>
      <w:pPr/>
      <w:r>
        <w:t>Cost-Analysis.xlsx“爬藤植物选择”实际有8种候选：爬山虎、凌霄、使君子、紫藤、金银花、炮仗花、常春藤、络石。</w:t>
      </w:r>
    </w:p>
    <w:p>
      <w:pPr/>
      <w:r>
        <w:t>原材料推荐：爬山虎为主选，凌霄可选，使君子搭配；每单元2株爬山虎＋1株使君子，另有1.2m³基质和滴灌安排。下一版应展示这一明确的原材料推荐，而不是让观众以为三种植物均无差别选用。</w:t>
      </w:r>
    </w:p>
    <w:p>
      <w:pPr/>
      <w:r>
        <w:t>需要修正的来源风险：</w:t>
      </w:r>
    </w:p>
    <w:p>
      <w:pPr>
        <w:pStyle w:val="ListBullet"/>
      </w:pPr>
      <w:r>
        <w:t>使君子的当地越冬、是否落叶及支撑适配需查证，不能把源表“落叶”无条件当作已确认属性。</w:t>
      </w:r>
    </w:p>
    <w:p>
      <w:pPr>
        <w:pStyle w:val="ListBullet"/>
      </w:pPr>
      <w:r>
        <w:t>把爬山虎吸盘或其他植物与光滑80mm杆面“可靠匹配”仍需产品/园艺经验或试种支持。</w:t>
      </w:r>
    </w:p>
    <w:p>
      <w:pPr>
        <w:pStyle w:val="ListBullet"/>
      </w:pPr>
      <w:r>
        <w:t>源表“忌选一切常绿”是项目筛选取向，不是所有公共绿化设施的普遍规则。应改为本项目希望兼顾冬季透光的选择目标。</w:t>
      </w:r>
    </w:p>
    <w:p>
      <w:pPr>
        <w:pStyle w:val="ListBullet"/>
      </w:pPr>
      <w:r>
        <w:t>LAI与湿重是当前参考输入，不代表本项目实测；种植与养护安排是建议，不是已经完成的施工。</w:t>
      </w:r>
    </w:p>
    <w:p>
      <w:pPr>
        <w:pStyle w:val="Heading1"/>
      </w:pPr>
      <w:r>
        <w:t>四、新增时间图：可以做什么、目前不能承诺什么</w:t>
      </w:r>
    </w:p>
    <w:p>
      <w:pPr>
        <w:pStyle w:val="Heading2"/>
      </w:pPr>
      <w:r>
        <w:t>1. 现有材料并没有“覆盖率—月份”证据</w:t>
      </w:r>
    </w:p>
    <w:p>
      <w:pPr/>
      <w:r>
        <w:t>覆盖情景包明确说明：没有物种校准、没有月份、没有真实生长速度预测。0/20/50/80/95%只是空间覆盖阶段。材料中的“2—3周固定”是牵引养护说明，不是达到20%覆盖的时间；3年养护预算也不是3年成冠证明。</w:t>
      </w:r>
    </w:p>
    <w:p>
      <w:pPr/>
      <w:r>
        <w:t>“年生长高度”也不能直接换成冠面覆盖速度：植物需先到达约3.48m的冠层，再沿约6.22×6.66m的冠部发展；苗木起始高度、数量、分枝、修剪与枯损都会改变覆盖。</w:t>
      </w:r>
    </w:p>
    <w:p>
      <w:pPr>
        <w:pStyle w:val="Heading2"/>
      </w:pPr>
      <w:r>
        <w:t>2. 将投用分成两个判断</w:t>
      </w:r>
    </w:p>
    <w:p>
      <w:pPr>
        <w:pStyle w:val="ListBullet"/>
      </w:pPr>
      <w:r>
        <w:t>结构开放节点：安装、节点养护、基础与必要验收完成后是否可以开放。需要施工和验收条件，14人工日不能给出确定开放日期。</w:t>
      </w:r>
    </w:p>
    <w:p>
      <w:pPr>
        <w:pStyle w:val="ListBullet"/>
      </w:pPr>
      <w:r>
        <w:t>植被性能就绪节点：在健康和维护可持续的前提下，植物覆盖及主要使用时段的遮阴达到约定设计目标。95%不是天然的“完整投入使用”标准，冬季落叶植物也不会保持全年恒定覆盖。</w:t>
      </w:r>
    </w:p>
    <w:p>
      <w:pPr>
        <w:pStyle w:val="Heading2"/>
      </w:pPr>
      <w:r>
        <w:t>3. 推荐图形</w:t>
      </w:r>
    </w:p>
    <w:p>
      <w:pPr/>
      <w:r>
        <w:t>一张上下两层图：上层为安装—验收开放—植物建立—覆盖发展—满足设计遮阴目标的里程碑；下层为覆盖率或使用时段有效遮阴随月数的曲线。</w:t>
      </w:r>
    </w:p>
    <w:p>
      <w:pPr/>
      <w:r>
        <w:t>只有上层节点逻辑目前可依据材料组织。下层月份曲线应在取得可靠生长数据后绘制；无数据时用“time to be calibrated”空缺标记或阶段轴，不画看似真实的S形曲线，也不填写“1年50%、2年95%”。</w:t>
      </w:r>
    </w:p>
    <w:p>
      <w:pPr/>
      <w:r>
        <w:t>如最终采用可追溯的生长模型/供应商估算，必须标明具体物种、城市气候、苗木规格、种植季节、灌溉与修剪、预测区间、数据来源，并说明是预测而非本项目观测。采用80%等覆盖目标时也须明确为项目暂定阈值，不冒充标准。</w:t>
      </w:r>
    </w:p>
    <w:p>
      <w:pPr>
        <w:pStyle w:val="Heading2"/>
      </w:pPr>
      <w:r>
        <w:t>4. 补齐时间轴需要的最少信息</w:t>
      </w:r>
    </w:p>
    <w:p>
      <w:pPr/>
      <w:r>
        <w:t>1. 实际或拟采用的城市/气候场景，不能默认北纬30°就等于上海真实场地。</w:t>
      </w:r>
    </w:p>
    <w:p>
      <w:pPr/>
      <w:r>
        <w:t>2. 最终植物组合及使君子是否保留。</w:t>
      </w:r>
    </w:p>
    <w:p>
      <w:pPr/>
      <w:r>
        <w:t>3. 苗木起始高度、规格、每株初始覆盖、种植季节与养护条件。</w:t>
      </w:r>
    </w:p>
    <w:p>
      <w:pPr/>
      <w:r>
        <w:t>4. 同类棚架覆盖发展的观察、研究、苗圃/施工方可靠记录；仅年伸长率不足时需额外几何/分枝假设。</w:t>
      </w:r>
    </w:p>
    <w:p>
      <w:pPr/>
      <w:r>
        <w:t>5. “可开放”和“达到设计性能”的各自判定条件。</w:t>
      </w:r>
    </w:p>
    <w:p>
      <w:pPr/>
      <w:r>
        <w:t>当前可先设计该页的图形结构，但不能给出有依据的完整投用月数。</w:t>
      </w:r>
    </w:p>
    <w:p>
      <w:pPr>
        <w:pStyle w:val="Heading1"/>
      </w:pPr>
      <w:r>
        <w:t>五、材料—第一版—修订版对应表</w:t>
      </w:r>
    </w:p>
    <w:p>
      <w:pPr/>
      <w:r>
        <w:t>“已有”指源材料实际包含；不等于本轮独立验证。第一版指已发布19页PPT，修订版指上文20页建议。没有上屏不一定是遗漏，有些应保留为讲稿或证据附件。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你提供的材料/工作</w:t>
            </w:r>
          </w:p>
        </w:tc>
        <w:tc>
          <w:tcPr>
            <w:tcW w:type="dxa" w:w="1728"/>
          </w:tcPr>
          <w:p>
            <w:r>
              <w:t>原材料包含什么</w:t>
            </w:r>
          </w:p>
        </w:tc>
        <w:tc>
          <w:tcPr>
            <w:tcW w:type="dxa" w:w="1728"/>
          </w:tcPr>
          <w:p>
            <w:r>
              <w:t>第一版实际展示</w:t>
            </w:r>
          </w:p>
        </w:tc>
        <w:tc>
          <w:tcPr>
            <w:tcW w:type="dxa" w:w="1728"/>
          </w:tcPr>
          <w:p>
            <w:r>
              <w:t>展示状态</w:t>
            </w:r>
          </w:p>
        </w:tc>
        <w:tc>
          <w:tcPr>
            <w:tcW w:type="dxa" w:w="1728"/>
          </w:tcPr>
          <w:p>
            <w:r>
              <w:t>修订版处理</w:t>
            </w:r>
          </w:p>
        </w:tc>
      </w:tr>
      <w:tr>
        <w:tc>
          <w:tcPr>
            <w:tcW w:type="dxa" w:w="1728"/>
          </w:tcPr>
          <w:p>
            <w:r>
              <w:t>五人成员截图</w:t>
            </w:r>
          </w:p>
        </w:tc>
        <w:tc>
          <w:tcPr>
            <w:tcW w:type="dxa" w:w="1728"/>
          </w:tcPr>
          <w:p>
            <w:r>
              <w:t>姓名、模块、具体工作与交付</w:t>
            </w:r>
          </w:p>
        </w:tc>
        <w:tc>
          <w:tcPr>
            <w:tcW w:type="dxa" w:w="1728"/>
          </w:tcPr>
          <w:p>
            <w:r>
              <w:t>第1页精简分工表</w:t>
            </w:r>
          </w:p>
        </w:tc>
        <w:tc>
          <w:tcPr>
            <w:tcW w:type="dxa" w:w="1728"/>
          </w:tcPr>
          <w:p>
            <w:r>
              <w:t>已展示，语句压缩</w:t>
            </w:r>
          </w:p>
        </w:tc>
        <w:tc>
          <w:tcPr>
            <w:tcW w:type="dxa" w:w="1728"/>
          </w:tcPr>
          <w:p>
            <w:r>
              <w:t>第1页保留；备注存完整原文</w:t>
            </w:r>
          </w:p>
        </w:tc>
      </w:tr>
      <w:tr>
        <w:tc>
          <w:tcPr>
            <w:tcW w:type="dxa" w:w="1728"/>
          </w:tcPr>
          <w:p>
            <w:r>
              <w:t>初始绿色建筑ZIP中的3dm/GH/C#</w:t>
            </w:r>
          </w:p>
        </w:tc>
        <w:tc>
          <w:tcPr>
            <w:tcW w:type="dxa" w:w="1728"/>
          </w:tcPr>
          <w:p>
            <w:r>
              <w:t>最终模型、中心线/管径控制、改形方法、基准文件</w:t>
            </w:r>
          </w:p>
        </w:tc>
        <w:tc>
          <w:tcPr>
            <w:tcW w:type="dxa" w:w="1728"/>
          </w:tcPr>
          <w:p>
            <w:r>
              <w:t>第3—5页导出模型、尺寸和分色；未讲工作流</w:t>
            </w:r>
          </w:p>
        </w:tc>
        <w:tc>
          <w:tcPr>
            <w:tcW w:type="dxa" w:w="1728"/>
          </w:tcPr>
          <w:p>
            <w:r>
              <w:t>部分展示</w:t>
            </w:r>
          </w:p>
        </w:tc>
        <w:tc>
          <w:tcPr>
            <w:tcW w:type="dxa" w:w="1728"/>
          </w:tcPr>
          <w:p>
            <w:r>
              <w:t>第3页补建模流程、关键控制；不展示历史版本</w:t>
            </w:r>
          </w:p>
        </w:tc>
      </w:tr>
      <w:tr>
        <w:tc>
          <w:tcPr>
            <w:tcW w:type="dxa" w:w="1728"/>
          </w:tcPr>
          <w:p>
            <w:r>
              <w:t>参数JSON与平立面</w:t>
            </w:r>
          </w:p>
        </w:tc>
        <w:tc>
          <w:tcPr>
            <w:tcW w:type="dxa" w:w="1728"/>
          </w:tcPr>
          <w:p>
            <w:r>
              <w:t>6.216×6.663×3.479m、59杆件、参数与间隙说明</w:t>
            </w:r>
          </w:p>
        </w:tc>
        <w:tc>
          <w:tcPr>
            <w:tcW w:type="dxa" w:w="1728"/>
          </w:tcPr>
          <w:p>
            <w:r>
              <w:t>第3页四类尺寸；第4页布局</w:t>
            </w:r>
          </w:p>
        </w:tc>
        <w:tc>
          <w:tcPr>
            <w:tcW w:type="dxa" w:w="1728"/>
          </w:tcPr>
          <w:p>
            <w:r>
              <w:t>部分展示</w:t>
            </w:r>
          </w:p>
        </w:tc>
        <w:tc>
          <w:tcPr>
            <w:tcW w:type="dxa" w:w="1728"/>
          </w:tcPr>
          <w:p>
            <w:r>
              <w:t>第3—4页解释参数与使用逻辑，技术细目备注</w:t>
            </w:r>
          </w:p>
        </w:tc>
      </w:tr>
      <w:tr>
        <w:tc>
          <w:tcPr>
            <w:tcW w:type="dxa" w:w="1728"/>
          </w:tcPr>
          <w:p>
            <w:r>
              <w:t>几何与用量表</w:t>
            </w:r>
          </w:p>
        </w:tc>
        <w:tc>
          <w:tcPr>
            <w:tcW w:type="dxa" w:w="1728"/>
          </w:tcPr>
          <w:p>
            <w:r>
              <w:t>288.66m、69.38/219.28m、截面及材料量</w:t>
            </w:r>
          </w:p>
        </w:tc>
        <w:tc>
          <w:tcPr>
            <w:tcW w:type="dxa" w:w="1728"/>
          </w:tcPr>
          <w:p>
            <w:r>
              <w:t>第5页12/47及两组长度</w:t>
            </w:r>
          </w:p>
        </w:tc>
        <w:tc>
          <w:tcPr>
            <w:tcW w:type="dxa" w:w="1728"/>
          </w:tcPr>
          <w:p>
            <w:r>
              <w:t>部分展示</w:t>
            </w:r>
          </w:p>
        </w:tc>
        <w:tc>
          <w:tcPr>
            <w:tcW w:type="dxa" w:w="1728"/>
          </w:tcPr>
          <w:p>
            <w:r>
              <w:t>第5页补总量和最终材料截面</w:t>
            </w:r>
          </w:p>
        </w:tc>
      </w:tr>
      <w:tr>
        <w:tc>
          <w:tcPr>
            <w:tcW w:type="dxa" w:w="1728"/>
          </w:tcPr>
          <w:p>
            <w:r>
              <w:t>材料比选表</w:t>
            </w:r>
          </w:p>
        </w:tc>
        <w:tc>
          <w:tcPr>
            <w:tcW w:type="dxa" w:w="1728"/>
          </w:tcPr>
          <w:p>
            <w:r>
              <w:t>9种材料/规格，力学、导热、碳、价格、耐久与环境评价</w:t>
            </w:r>
          </w:p>
        </w:tc>
        <w:tc>
          <w:tcPr>
            <w:tcW w:type="dxa" w:w="1728"/>
          </w:tcPr>
          <w:p>
            <w:r>
              <w:t>第6页只列3类导热与碳因子及简短用途</w:t>
            </w:r>
          </w:p>
        </w:tc>
        <w:tc>
          <w:tcPr>
            <w:tcW w:type="dxa" w:w="1728"/>
          </w:tcPr>
          <w:p>
            <w:r>
              <w:t>压缩过度</w:t>
            </w:r>
          </w:p>
        </w:tc>
        <w:tc>
          <w:tcPr>
            <w:tcW w:type="dxa" w:w="1728"/>
          </w:tcPr>
          <w:p>
            <w:r>
              <w:t>第6页补核心筛选理由及成本/刚度/维护，完整9种留附表</w:t>
            </w:r>
          </w:p>
        </w:tc>
      </w:tr>
      <w:tr>
        <w:tc>
          <w:tcPr>
            <w:tcW w:type="dxa" w:w="1728"/>
          </w:tcPr>
          <w:p>
            <w:r>
              <w:t>选型决策矩阵</w:t>
            </w:r>
          </w:p>
        </w:tc>
        <w:tc>
          <w:tcPr>
            <w:tcW w:type="dxa" w:w="1728"/>
          </w:tcPr>
          <w:p>
            <w:r>
              <w:t>7准则、3套权重、主观评分和可行性闸门</w:t>
            </w:r>
          </w:p>
        </w:tc>
        <w:tc>
          <w:tcPr>
            <w:tcW w:type="dxa" w:w="1728"/>
          </w:tcPr>
          <w:p>
            <w:r>
              <w:t>未展示</w:t>
            </w:r>
          </w:p>
        </w:tc>
        <w:tc>
          <w:tcPr>
            <w:tcW w:type="dxa" w:w="1728"/>
          </w:tcPr>
          <w:p>
            <w:r>
              <w:t>未上屏，有意取舍</w:t>
            </w:r>
          </w:p>
        </w:tc>
        <w:tc>
          <w:tcPr>
            <w:tcW w:type="dxa" w:w="1728"/>
          </w:tcPr>
          <w:p>
            <w:r>
              <w:t>可用一条“先可行性、再多准则取舍”说明；不恢复整套备选方案排名，不将主观分数当验证</w:t>
            </w:r>
          </w:p>
        </w:tc>
      </w:tr>
      <w:tr>
        <w:tc>
          <w:tcPr>
            <w:tcW w:type="dxa" w:w="1728"/>
          </w:tcPr>
          <w:p>
            <w:r>
              <w:t>挠度校核</w:t>
            </w:r>
          </w:p>
        </w:tc>
        <w:tc>
          <w:tcPr>
            <w:tcW w:type="dxa" w:w="1728"/>
          </w:tcPr>
          <w:p>
            <w:r>
              <w:t>材料输入、自重/湿叶荷载、3跨度、简支/固定端</w:t>
            </w:r>
          </w:p>
        </w:tc>
        <w:tc>
          <w:tcPr>
            <w:tcW w:type="dxa" w:w="1728"/>
          </w:tcPr>
          <w:p>
            <w:r>
              <w:t>第7页仅最大跨的比值3.02/0.60</w:t>
            </w:r>
          </w:p>
        </w:tc>
        <w:tc>
          <w:tcPr>
            <w:tcW w:type="dxa" w:w="1728"/>
          </w:tcPr>
          <w:p>
            <w:r>
              <w:t>部分展示，解释不足</w:t>
            </w:r>
          </w:p>
        </w:tc>
        <w:tc>
          <w:tcPr>
            <w:tcW w:type="dxa" w:w="1728"/>
          </w:tcPr>
          <w:p>
            <w:r>
              <w:t>第7页补荷载—边界—挠度—节点要求的逻辑；全表备注</w:t>
            </w:r>
          </w:p>
        </w:tc>
      </w:tr>
      <w:tr>
        <w:tc>
          <w:tcPr>
            <w:tcW w:type="dxa" w:w="1728"/>
          </w:tcPr>
          <w:p>
            <w:r>
              <w:t>规格与连接</w:t>
            </w:r>
          </w:p>
        </w:tc>
        <w:tc>
          <w:tcPr>
            <w:tcW w:type="dxa" w:w="1728"/>
          </w:tcPr>
          <w:p>
            <w:r>
              <w:t>竹/钢规格、抱箍、套管、法兰、地脚和基础</w:t>
            </w:r>
          </w:p>
        </w:tc>
        <w:tc>
          <w:tcPr>
            <w:tcW w:type="dxa" w:w="1728"/>
          </w:tcPr>
          <w:p>
            <w:r>
              <w:t>材料名和节点约束有文字，未展示节点/模块详解</w:t>
            </w:r>
          </w:p>
        </w:tc>
        <w:tc>
          <w:tcPr>
            <w:tcW w:type="dxa" w:w="1728"/>
          </w:tcPr>
          <w:p>
            <w:r>
              <w:t>明显不足</w:t>
            </w:r>
          </w:p>
        </w:tc>
        <w:tc>
          <w:tcPr>
            <w:tcW w:type="dxa" w:w="1728"/>
          </w:tcPr>
          <w:p>
            <w:r>
              <w:t>第5/7/18页补拟议连接和模块关系；旧销接与新刚接冲突先标待协调</w:t>
            </w:r>
          </w:p>
        </w:tc>
      </w:tr>
      <w:tr>
        <w:tc>
          <w:tcPr>
            <w:tcW w:type="dxa" w:w="1728"/>
          </w:tcPr>
          <w:p>
            <w:r>
              <w:t>模块化建造分析</w:t>
            </w:r>
          </w:p>
        </w:tc>
        <w:tc>
          <w:tcPr>
            <w:tcW w:type="dxa" w:w="1728"/>
          </w:tcPr>
          <w:p>
            <w:r>
              <w:t>模块P1—P5、运输吊装、10步骤、14人工日、约9.07t配重</w:t>
            </w:r>
          </w:p>
        </w:tc>
        <w:tc>
          <w:tcPr>
            <w:tcW w:type="dxa" w:w="1728"/>
          </w:tcPr>
          <w:p>
            <w:r>
              <w:t>第17页5阶段流程、14人工日和养护提醒</w:t>
            </w:r>
          </w:p>
        </w:tc>
        <w:tc>
          <w:tcPr>
            <w:tcW w:type="dxa" w:w="1728"/>
          </w:tcPr>
          <w:p>
            <w:r>
              <w:t>部分展示</w:t>
            </w:r>
          </w:p>
        </w:tc>
        <w:tc>
          <w:tcPr>
            <w:tcW w:type="dxa" w:w="1728"/>
          </w:tcPr>
          <w:p>
            <w:r>
              <w:t>第18页补模块分解、接口和实际施工约束；不宣称纯干式无损可逆</w:t>
            </w:r>
          </w:p>
        </w:tc>
      </w:tr>
      <w:tr>
        <w:tc>
          <w:tcPr>
            <w:tcW w:type="dxa" w:w="1728"/>
          </w:tcPr>
          <w:p>
            <w:r>
              <w:t>造价明细</w:t>
            </w:r>
          </w:p>
        </w:tc>
        <w:tc>
          <w:tcPr>
            <w:tcW w:type="dxa" w:w="1728"/>
          </w:tcPr>
          <w:p>
            <w:r>
              <w:t>七类费用、构件单价、节点12000、总价51676</w:t>
            </w:r>
          </w:p>
        </w:tc>
        <w:tc>
          <w:tcPr>
            <w:tcW w:type="dxa" w:w="1728"/>
          </w:tcPr>
          <w:p>
            <w:r>
              <w:t>第8页七类图、总价和节点成本</w:t>
            </w:r>
          </w:p>
        </w:tc>
        <w:tc>
          <w:tcPr>
            <w:tcW w:type="dxa" w:w="1728"/>
          </w:tcPr>
          <w:p>
            <w:r>
              <w:t>核心已展示</w:t>
            </w:r>
          </w:p>
        </w:tc>
        <w:tc>
          <w:tcPr>
            <w:tcW w:type="dxa" w:w="1728"/>
          </w:tcPr>
          <w:p>
            <w:r>
              <w:t>第8页补59.1%材料占比及一句成本含义；完整询价表不上屏</w:t>
            </w:r>
          </w:p>
        </w:tc>
      </w:tr>
      <w:tr>
        <w:tc>
          <w:tcPr>
            <w:tcW w:type="dxa" w:w="1728"/>
          </w:tcPr>
          <w:p>
            <w:r>
              <w:t>全廊道概算</w:t>
            </w:r>
          </w:p>
        </w:tc>
        <w:tc>
          <w:tcPr>
            <w:tcW w:type="dxa" w:w="1728"/>
          </w:tcPr>
          <w:p>
            <w:r>
              <w:t>100m假设、16单元、总价及±15%范围</w:t>
            </w:r>
          </w:p>
        </w:tc>
        <w:tc>
          <w:tcPr>
            <w:tcW w:type="dxa" w:w="1728"/>
          </w:tcPr>
          <w:p>
            <w:r>
              <w:t>未展示</w:t>
            </w:r>
          </w:p>
        </w:tc>
        <w:tc>
          <w:tcPr>
            <w:tcW w:type="dxa" w:w="1728"/>
          </w:tcPr>
          <w:p>
            <w:r>
              <w:t>未上屏，有意取舍</w:t>
            </w:r>
          </w:p>
        </w:tc>
        <w:tc>
          <w:tcPr>
            <w:tcW w:type="dxa" w:w="1728"/>
          </w:tcPr>
          <w:p>
            <w:r>
              <w:t>主讲仍按单元，不冒充真实场地工程预算；廊道示例放备注</w:t>
            </w:r>
          </w:p>
        </w:tc>
      </w:tr>
      <w:tr>
        <w:tc>
          <w:tcPr>
            <w:tcW w:type="dxa" w:w="1728"/>
          </w:tcPr>
          <w:p>
            <w:r>
              <w:t>材料隐含碳</w:t>
            </w:r>
          </w:p>
        </w:tc>
        <w:tc>
          <w:tcPr>
            <w:tcW w:type="dxa" w:w="1728"/>
          </w:tcPr>
          <w:p>
            <w:r>
              <w:t>主体、配重、其他因子和全方案对比</w:t>
            </w:r>
          </w:p>
        </w:tc>
        <w:tc>
          <w:tcPr>
            <w:tcW w:type="dxa" w:w="1728"/>
          </w:tcPr>
          <w:p>
            <w:r>
              <w:t>第9页只展示最终方案组成和总量</w:t>
            </w:r>
          </w:p>
        </w:tc>
        <w:tc>
          <w:tcPr>
            <w:tcW w:type="dxa" w:w="1728"/>
          </w:tcPr>
          <w:p>
            <w:r>
              <w:t>核心已展示</w:t>
            </w:r>
          </w:p>
        </w:tc>
        <w:tc>
          <w:tcPr>
            <w:tcW w:type="dxa" w:w="1728"/>
          </w:tcPr>
          <w:p>
            <w:r>
              <w:t>第9页解释范围/来源和维护；继续不做用户已排除的整套方案对比</w:t>
            </w:r>
          </w:p>
        </w:tc>
      </w:tr>
      <w:tr>
        <w:tc>
          <w:tcPr>
            <w:tcW w:type="dxa" w:w="1728"/>
          </w:tcPr>
          <w:p>
            <w:r>
              <w:t>爬藤植物选择表</w:t>
            </w:r>
          </w:p>
        </w:tc>
        <w:tc>
          <w:tcPr>
            <w:tcW w:type="dxa" w:w="1728"/>
          </w:tcPr>
          <w:p>
            <w:r>
              <w:t>8候选、攀附/季节/湿重/LAI、推荐2+1组合、基质滴灌养护</w:t>
            </w:r>
          </w:p>
        </w:tc>
        <w:tc>
          <w:tcPr>
            <w:tcW w:type="dxa" w:w="1728"/>
          </w:tcPr>
          <w:p>
            <w:r>
              <w:t>第10页3候选卡，未讲2+1和落选逻辑</w:t>
            </w:r>
          </w:p>
        </w:tc>
        <w:tc>
          <w:tcPr>
            <w:tcW w:type="dxa" w:w="1728"/>
          </w:tcPr>
          <w:p>
            <w:r>
              <w:t>压缩过度</w:t>
            </w:r>
          </w:p>
        </w:tc>
        <w:tc>
          <w:tcPr>
            <w:tcW w:type="dxa" w:w="1728"/>
          </w:tcPr>
          <w:p>
            <w:r>
              <w:t>第10页补筛选与推荐配置；时间与养护连至第11页</w:t>
            </w:r>
          </w:p>
        </w:tc>
      </w:tr>
      <w:tr>
        <w:tc>
          <w:tcPr>
            <w:tcW w:type="dxa" w:w="1728"/>
          </w:tcPr>
          <w:p>
            <w:r>
              <w:t>生长时间资料</w:t>
            </w:r>
          </w:p>
        </w:tc>
        <w:tc>
          <w:tcPr>
            <w:tcW w:type="dxa" w:w="1728"/>
          </w:tcPr>
          <w:p>
            <w:r>
              <w:t>仅牵引固定/养护安排，无覆盖率—月数或物种模型</w:t>
            </w:r>
          </w:p>
        </w:tc>
        <w:tc>
          <w:tcPr>
            <w:tcW w:type="dxa" w:w="1728"/>
          </w:tcPr>
          <w:p>
            <w:r>
              <w:t>未展示时间曲线</w:t>
            </w:r>
          </w:p>
        </w:tc>
        <w:tc>
          <w:tcPr>
            <w:tcW w:type="dxa" w:w="1728"/>
          </w:tcPr>
          <w:p>
            <w:r>
              <w:t>资料本身缺失</w:t>
            </w:r>
          </w:p>
        </w:tc>
        <w:tc>
          <w:tcPr>
            <w:tcW w:type="dxa" w:w="1728"/>
          </w:tcPr>
          <w:p>
            <w:r>
              <w:t>第11页新增时间图逻辑；真实横轴月数需补证，不用预算年限代替</w:t>
            </w:r>
          </w:p>
        </w:tc>
      </w:tr>
      <w:tr>
        <w:tc>
          <w:tcPr>
            <w:tcW w:type="dxa" w:w="1728"/>
          </w:tcPr>
          <w:p>
            <w:r>
              <w:t>中英文性能报告</w:t>
            </w:r>
          </w:p>
        </w:tc>
        <w:tc>
          <w:tcPr>
            <w:tcW w:type="dxa" w:w="1728"/>
          </w:tcPr>
          <w:p>
            <w:r>
              <w:t>机制、假设、方法、结果、敏感性、应用与验证</w:t>
            </w:r>
          </w:p>
        </w:tc>
        <w:tc>
          <w:tcPr>
            <w:tcW w:type="dxa" w:w="1728"/>
          </w:tcPr>
          <w:p>
            <w:r>
              <w:t>第2/11—13/16/18页精选内容</w:t>
            </w:r>
          </w:p>
        </w:tc>
        <w:tc>
          <w:tcPr>
            <w:tcW w:type="dxa" w:w="1728"/>
          </w:tcPr>
          <w:p>
            <w:r>
              <w:t>广泛但简略</w:t>
            </w:r>
          </w:p>
        </w:tc>
        <w:tc>
          <w:tcPr>
            <w:tcW w:type="dxa" w:w="1728"/>
          </w:tcPr>
          <w:p>
            <w:r>
              <w:t>第12—14/17/19页补证据链和结果含义，保留必要限制</w:t>
            </w:r>
          </w:p>
        </w:tc>
      </w:tr>
      <w:tr>
        <w:tc>
          <w:tcPr>
            <w:tcW w:type="dxa" w:w="1728"/>
          </w:tcPr>
          <w:p>
            <w:r>
              <w:t>旧遮阴CSV/图表</w:t>
            </w:r>
          </w:p>
        </w:tc>
        <w:tc>
          <w:tcPr>
            <w:tcW w:type="dxa" w:w="1728"/>
          </w:tcPr>
          <w:p>
            <w:r>
              <w:t>夏至/春秋分逐时、理想叶面、裸架、孔/覆盖透射敏感性</w:t>
            </w:r>
          </w:p>
        </w:tc>
        <w:tc>
          <w:tcPr>
            <w:tcW w:type="dxa" w:w="1728"/>
          </w:tcPr>
          <w:p>
            <w:r>
              <w:t>第13页只展示夏至3时刻与均值</w:t>
            </w:r>
          </w:p>
        </w:tc>
        <w:tc>
          <w:tcPr>
            <w:tcW w:type="dxa" w:w="1728"/>
          </w:tcPr>
          <w:p>
            <w:r>
              <w:t>部分展示</w:t>
            </w:r>
          </w:p>
        </w:tc>
        <w:tc>
          <w:tcPr>
            <w:tcW w:type="dxa" w:w="1728"/>
          </w:tcPr>
          <w:p>
            <w:r>
              <w:t>第14页补时段曲线及季节太阳条件说明；孔/透射完整敏感性备注</w:t>
            </w:r>
          </w:p>
        </w:tc>
      </w:tr>
      <w:tr>
        <w:tc>
          <w:tcPr>
            <w:tcW w:type="dxa" w:w="1728"/>
          </w:tcPr>
          <w:p>
            <w:r>
              <w:t>新模拟包7模型</w:t>
            </w:r>
          </w:p>
        </w:tc>
        <w:tc>
          <w:tcPr>
            <w:tcW w:type="dxa" w:w="1728"/>
          </w:tcPr>
          <w:p>
            <w:r>
              <w:t>冠幅/高度/圆角，单参数7模型</w:t>
            </w:r>
          </w:p>
        </w:tc>
        <w:tc>
          <w:tcPr>
            <w:tcW w:type="dxa" w:w="1728"/>
          </w:tcPr>
          <w:p>
            <w:r>
              <w:t>第14页只展示冠幅3模型</w:t>
            </w:r>
          </w:p>
        </w:tc>
        <w:tc>
          <w:tcPr>
            <w:tcW w:type="dxa" w:w="1728"/>
          </w:tcPr>
          <w:p>
            <w:r>
              <w:t>研究范围未完整体现</w:t>
            </w:r>
          </w:p>
        </w:tc>
        <w:tc>
          <w:tcPr>
            <w:tcW w:type="dxa" w:w="1728"/>
          </w:tcPr>
          <w:p>
            <w:r>
              <w:t>第15页说明三类研究范围，主讲冠幅；高度与圆角摘要或备注</w:t>
            </w:r>
          </w:p>
        </w:tc>
      </w:tr>
      <w:tr>
        <w:tc>
          <w:tcPr>
            <w:tcW w:type="dxa" w:w="1728"/>
          </w:tcPr>
          <w:p>
            <w:r>
              <w:t>新覆盖模型与CSV</w:t>
            </w:r>
          </w:p>
        </w:tc>
        <w:tc>
          <w:tcPr>
            <w:tcW w:type="dxa" w:w="1728"/>
          </w:tcPr>
          <w:p>
            <w:r>
              <w:t>五档覆盖、25时刻、两太阳季节、1750行主结果</w:t>
            </w:r>
          </w:p>
        </w:tc>
        <w:tc>
          <w:tcPr>
            <w:tcW w:type="dxa" w:w="1728"/>
          </w:tcPr>
          <w:p>
            <w:r>
              <w:t>第15页动画含5档，图表仅0/50/95三档</w:t>
            </w:r>
          </w:p>
        </w:tc>
        <w:tc>
          <w:tcPr>
            <w:tcW w:type="dxa" w:w="1728"/>
          </w:tcPr>
          <w:p>
            <w:r>
              <w:t>部分展示</w:t>
            </w:r>
          </w:p>
        </w:tc>
        <w:tc>
          <w:tcPr>
            <w:tcW w:type="dxa" w:w="1728"/>
          </w:tcPr>
          <w:p>
            <w:r>
              <w:t>第16页恢复五点结果和嵌套情景方法</w:t>
            </w:r>
          </w:p>
        </w:tc>
      </w:tr>
      <w:tr>
        <w:tc>
          <w:tcPr>
            <w:tcW w:type="dxa" w:w="1728"/>
          </w:tcPr>
          <w:p>
            <w:r>
              <w:t>同50%覆盖分布敏感性</w:t>
            </w:r>
          </w:p>
        </w:tc>
        <w:tc>
          <w:tcPr>
            <w:tcW w:type="dxa" w:w="1728"/>
          </w:tcPr>
          <w:p>
            <w:r>
              <w:t>3种分布；正午约77.5/71.4/62.6%</w:t>
            </w:r>
          </w:p>
        </w:tc>
        <w:tc>
          <w:tcPr>
            <w:tcW w:type="dxa" w:w="1728"/>
          </w:tcPr>
          <w:p>
            <w:r>
              <w:t>未展示</w:t>
            </w:r>
          </w:p>
        </w:tc>
        <w:tc>
          <w:tcPr>
            <w:tcW w:type="dxa" w:w="1728"/>
          </w:tcPr>
          <w:p>
            <w:r>
              <w:t>有价值内容未体现</w:t>
            </w:r>
          </w:p>
        </w:tc>
        <w:tc>
          <w:tcPr>
            <w:tcW w:type="dxa" w:w="1728"/>
          </w:tcPr>
          <w:p>
            <w:r>
              <w:t>第16页一句对照或备注，说明覆盖量相同也不能忽略位置</w:t>
            </w:r>
          </w:p>
        </w:tc>
      </w:tr>
      <w:tr>
        <w:tc>
          <w:tcPr>
            <w:tcW w:type="dxa" w:w="1728"/>
          </w:tcPr>
          <w:p>
            <w:r>
              <w:t>栅格与覆盖精度检查</w:t>
            </w:r>
          </w:p>
        </w:tc>
        <w:tc>
          <w:tcPr>
            <w:tcW w:type="dxa" w:w="1728"/>
          </w:tcPr>
          <w:p>
            <w:r>
              <w:t>10/5/2.5mm抽查、5对2.5mm约1.06pp；面积核验</w:t>
            </w:r>
          </w:p>
        </w:tc>
        <w:tc>
          <w:tcPr>
            <w:tcW w:type="dxa" w:w="1728"/>
          </w:tcPr>
          <w:p>
            <w:r>
              <w:t>页面未展示具体数值</w:t>
            </w:r>
          </w:p>
        </w:tc>
        <w:tc>
          <w:tcPr>
            <w:tcW w:type="dxa" w:w="1728"/>
          </w:tcPr>
          <w:p>
            <w:r>
              <w:t>未上屏，留技术证据</w:t>
            </w:r>
          </w:p>
        </w:tc>
        <w:tc>
          <w:tcPr>
            <w:tcW w:type="dxa" w:w="1728"/>
          </w:tcPr>
          <w:p>
            <w:r>
              <w:t>第13页简短列“有收敛抽查”，数值和误差边界备注，不拿小差异判最优</w:t>
            </w:r>
          </w:p>
        </w:tc>
      </w:tr>
      <w:tr>
        <w:tc>
          <w:tcPr>
            <w:tcW w:type="dxa" w:w="1728"/>
          </w:tcPr>
          <w:p>
            <w:r>
              <w:t>两段GIF</w:t>
            </w:r>
          </w:p>
        </w:tc>
        <w:tc>
          <w:tcPr>
            <w:tcW w:type="dxa" w:w="1728"/>
          </w:tcPr>
          <w:p>
            <w:r>
              <w:t>覆盖5帧、日内阴影25帧</w:t>
            </w:r>
          </w:p>
        </w:tc>
        <w:tc>
          <w:tcPr>
            <w:tcW w:type="dxa" w:w="1728"/>
          </w:tcPr>
          <w:p>
            <w:r>
              <w:t>第15—16页重输出无字幕GIF；PDF静态帧</w:t>
            </w:r>
          </w:p>
        </w:tc>
        <w:tc>
          <w:tcPr>
            <w:tcW w:type="dxa" w:w="1728"/>
          </w:tcPr>
          <w:p>
            <w:r>
              <w:t>已使用</w:t>
            </w:r>
          </w:p>
        </w:tc>
        <w:tc>
          <w:tcPr>
            <w:tcW w:type="dxa" w:w="1728"/>
          </w:tcPr>
          <w:p>
            <w:r>
              <w:t>第16—17页继续用，数据/英文说明独立可编辑</w:t>
            </w:r>
          </w:p>
        </w:tc>
      </w:tr>
      <w:tr>
        <w:tc>
          <w:tcPr>
            <w:tcW w:type="dxa" w:w="1728"/>
          </w:tcPr>
          <w:p>
            <w:r>
              <w:t>参考PPT截图14张</w:t>
            </w:r>
          </w:p>
        </w:tc>
        <w:tc>
          <w:tcPr>
            <w:tcW w:type="dxa" w:w="1728"/>
          </w:tcPr>
          <w:p>
            <w:r>
              <w:t>其他组材料图表、导航与风格示例</w:t>
            </w:r>
          </w:p>
        </w:tc>
        <w:tc>
          <w:tcPr>
            <w:tcW w:type="dxa" w:w="1728"/>
          </w:tcPr>
          <w:p>
            <w:r>
              <w:t>仅参考信息组织，未当作本项目数据</w:t>
            </w:r>
          </w:p>
        </w:tc>
        <w:tc>
          <w:tcPr>
            <w:tcW w:type="dxa" w:w="1728"/>
          </w:tcPr>
          <w:p>
            <w:r>
              <w:t>有意不直接复用</w:t>
            </w:r>
          </w:p>
        </w:tc>
        <w:tc>
          <w:tcPr>
            <w:tcW w:type="dxa" w:w="1728"/>
          </w:tcPr>
          <w:p>
            <w:r>
              <w:t>不复制他组参数、成本与结论</w:t>
            </w:r>
          </w:p>
        </w:tc>
      </w:tr>
      <w:tr>
        <w:tc>
          <w:tcPr>
            <w:tcW w:type="dxa" w:w="1728"/>
          </w:tcPr>
          <w:p>
            <w:r>
              <w:t>原5页英文模块/讲稿</w:t>
            </w:r>
          </w:p>
        </w:tc>
        <w:tc>
          <w:tcPr>
            <w:tcW w:type="dxa" w:w="1728"/>
          </w:tcPr>
          <w:p>
            <w:r>
              <w:t>性能模块及Q&amp;A，不是全组总汇报</w:t>
            </w:r>
          </w:p>
        </w:tc>
        <w:tc>
          <w:tcPr>
            <w:tcW w:type="dxa" w:w="1728"/>
          </w:tcPr>
          <w:p>
            <w:r>
              <w:t>转化为整合稿、备注和演讲指南</w:t>
            </w:r>
          </w:p>
        </w:tc>
        <w:tc>
          <w:tcPr>
            <w:tcW w:type="dxa" w:w="1728"/>
          </w:tcPr>
          <w:p>
            <w:r>
              <w:t>已吸收，非逐页照搬</w:t>
            </w:r>
          </w:p>
        </w:tc>
        <w:tc>
          <w:tcPr>
            <w:tcW w:type="dxa" w:w="1728"/>
          </w:tcPr>
          <w:p>
            <w:r>
              <w:t>修订讲稿应解释更多方法与取舍，不逐字读页</w:t>
            </w:r>
          </w:p>
        </w:tc>
      </w:tr>
      <w:tr>
        <w:tc>
          <w:tcPr>
            <w:tcW w:type="dxa" w:w="1728"/>
          </w:tcPr>
          <w:p>
            <w:r>
              <w:t>用户补充参考表</w:t>
            </w:r>
          </w:p>
        </w:tc>
        <w:tc>
          <w:tcPr>
            <w:tcW w:type="dxa" w:w="1728"/>
          </w:tcPr>
          <w:p>
            <w:r>
              <w:t>标准/数据库线索、待补竹参数、价格状态</w:t>
            </w:r>
          </w:p>
        </w:tc>
        <w:tc>
          <w:tcPr>
            <w:tcW w:type="dxa" w:w="1728"/>
          </w:tcPr>
          <w:p>
            <w:r>
              <w:t>文献/项目来源脚注与第19页，未核标准不冒称已核</w:t>
            </w:r>
          </w:p>
        </w:tc>
        <w:tc>
          <w:tcPr>
            <w:tcW w:type="dxa" w:w="1728"/>
          </w:tcPr>
          <w:p>
            <w:r>
              <w:t>部分展示且有证据缺口</w:t>
            </w:r>
          </w:p>
        </w:tc>
        <w:tc>
          <w:tcPr>
            <w:tcW w:type="dxa" w:w="1728"/>
          </w:tcPr>
          <w:p>
            <w:r>
              <w:t>第20页与逐页引用同步，补证后再加确定条目</w:t>
            </w:r>
          </w:p>
        </w:tc>
      </w:tr>
      <w:tr>
        <w:tc>
          <w:tcPr>
            <w:tcW w:type="dxa" w:w="1728"/>
          </w:tcPr>
          <w:p>
            <w:r>
              <w:t>后续大型绿色建筑ZIP</w:t>
            </w:r>
          </w:p>
        </w:tc>
        <w:tc>
          <w:tcPr>
            <w:tcW w:type="dxa" w:w="1728"/>
          </w:tcPr>
          <w:p>
            <w:r>
              <w:t>下载工具超过32MiB上限，未成功读取</w:t>
            </w:r>
          </w:p>
        </w:tc>
        <w:tc>
          <w:tcPr>
            <w:tcW w:type="dxa" w:w="1728"/>
          </w:tcPr>
          <w:p>
            <w:r>
              <w:t>未采用未知更新</w:t>
            </w:r>
          </w:p>
        </w:tc>
        <w:tc>
          <w:tcPr>
            <w:tcW w:type="dxa" w:w="1728"/>
          </w:tcPr>
          <w:p>
            <w:r>
              <w:t>未读取</w:t>
            </w:r>
          </w:p>
        </w:tc>
        <w:tc>
          <w:tcPr>
            <w:tcW w:type="dxa" w:w="1728"/>
          </w:tcPr>
          <w:p>
            <w:r>
              <w:t>如含材料/造价新值需单独补传；不能说已用最新版全包</w:t>
            </w:r>
          </w:p>
        </w:tc>
      </w:tr>
    </w:tbl>
    <w:p>
      <w:pPr>
        <w:pStyle w:val="Heading1"/>
      </w:pPr>
      <w:r>
        <w:t>六、页面密度与演讲帮助的修订原则</w:t>
      </w:r>
    </w:p>
    <w:p>
      <w:pPr>
        <w:pStyle w:val="ListBullet"/>
      </w:pPr>
      <w:r>
        <w:t>不再机械地把普通技术页压到25—40英文词。页内应有足够的条件、结果和意义，常见技术页约45—75词可作为工作范围，但实际以字号、图表标签和视觉层级检查，不以字数达标。</w:t>
      </w:r>
    </w:p>
    <w:p>
      <w:pPr>
        <w:pStyle w:val="ListBullet"/>
      </w:pPr>
      <w:r>
        <w:t>每页保留一个明确问题或结论，约2—4个信息组；图旁加能帮助理解的解释，而不是只有大数字。</w:t>
      </w:r>
    </w:p>
    <w:p>
      <w:pPr>
        <w:pStyle w:val="ListBullet"/>
      </w:pPr>
      <w:r>
        <w:t>力学、材料、模拟页允许精选小表；不会同时叠完整矩阵、公式、三张图和长段限制。</w:t>
      </w:r>
    </w:p>
    <w:p>
      <w:pPr>
        <w:pStyle w:val="ListBullet"/>
      </w:pPr>
      <w:r>
        <w:t>必要假设、estimate/conceptual标签仍就地保留；长篇限制移入统一“验证与下一步”及备注，不让限制成为每页主标题。</w:t>
      </w:r>
    </w:p>
    <w:p>
      <w:pPr>
        <w:pStyle w:val="ListBullet"/>
      </w:pPr>
      <w:r>
        <w:t>讲稿应增加看图解释、决策理由和与下一模块的联系；适度的屏幕文字让演讲者能快速找回逻辑，不变成逐字朗读稿。</w:t>
      </w:r>
    </w:p>
    <w:p>
      <w:pPr>
        <w:pStyle w:val="ListBullet"/>
      </w:pPr>
      <w:r>
        <w:t>原生文字、表格、图表继续可编辑；模型与动画作为图像证据保留，且与数据口径一致。</w:t>
      </w:r>
    </w:p>
    <w:p>
      <w:pPr>
        <w:pStyle w:val="Heading1"/>
      </w:pPr>
      <w:r>
        <w:t>七、当前推进建议</w:t>
      </w:r>
    </w:p>
    <w:p>
      <w:pPr/>
      <w:r>
        <w:t>先确认修订大纲与材料覆盖是否符合实际团队工作，再据此制作第二版。植物时间页可以先完成结构，真实投用月数待物种、场地、苗木与可靠生长依据补齐后绘制。不能为了让工作显得完整而填补未做的实验或虚构生长预测。</w:t>
      </w:r>
    </w:p>
    <w:p>
      <w:pPr>
        <w:pStyle w:val="Heading1"/>
      </w:pPr>
      <w:r>
        <w:t>封面最新要求</w:t>
      </w:r>
    </w:p>
    <w:p>
      <w:pPr/>
      <w:r>
        <w:t>用户明确要求第一页突出PPT标题，分工缩小且不能喧宾夺主。正式封面以VineWeave Canopy和项目副标题为主体；底部保留五人姓名及核心职责，不再放完整分工表。完整分工留策划文档/备注。该要求优先于本文早期“第一页分工表”的记录。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