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V9 Bilingual Script</w:t>
      </w:r>
    </w:p>
    <w:p>
      <w:r>
        <w:t>对应V9的18页。第1—17页为正文，第18页为参考与问答提示。中文用于理解和练习；课堂英文展示不需将两种语言都读出。英文口述词数与时间估计见完整Presenter Guide。来源依据和答辩备忘见完整Presenter Guide。</w:t>
      </w:r>
    </w:p>
    <w:p>
      <w:pPr>
        <w:pStyle w:val="Heading1"/>
      </w:pPr>
      <w:r>
        <w:t>01｜项目介绍</w:t>
      </w:r>
    </w:p>
    <w:p>
      <w:r>
        <w:rPr>
          <w:b/>
        </w:rPr>
        <w:t>English：</w:t>
      </w:r>
      <w:r>
        <w:t>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rPr>
          <w:b/>
        </w:rPr>
        <w:t>中文：</w:t>
      </w:r>
      <w:r>
        <w:t>藤织荫冠将爬藤植物与树形支架结合，为行人提供遮荫。我们小组的工作涵盖参数化几何设计、材料与施工选择，以及遮荫分析。下方姓名对应各成员的任务分工。接下来，我们将介绍设计决策及其依据。</w:t>
      </w:r>
    </w:p>
    <w:p>
      <w:r>
        <w:rPr>
          <w:b/>
        </w:rPr>
        <w:t>Transition：</w:t>
      </w:r>
      <w:r>
        <w:t>First, the final geometry and its drawing definitions.</w:t>
      </w:r>
    </w:p>
    <w:p>
      <w:r>
        <w:rPr>
          <w:b/>
        </w:rPr>
        <w:t>过渡：</w:t>
      </w:r>
      <w:r>
        <w:t>首先介绍最终几何形态及其图纸中的测量定义。</w:t>
      </w:r>
    </w:p>
    <w:p>
      <w:pPr>
        <w:pStyle w:val="Heading1"/>
      </w:pPr>
      <w:r>
        <w:t>02｜几何参数与图纸</w:t>
      </w:r>
    </w:p>
    <w:p>
      <w:r>
        <w:rPr>
          <w:b/>
        </w:rPr>
        <w:t>English：</w:t>
      </w:r>
      <w:r>
        <w:t>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rPr>
          <w:b/>
        </w:rPr>
        <w:t>中文：</w:t>
      </w:r>
      <w:r>
        <w:t>最终模型总高约3.48米，平面外缘范围约6.22米×6.66米，最大水平外缘跨度约6.91米。对于这些弯曲支撑杆，我们将倾角定义为杆件两端点连线相对水平面的夹角。配套图纸说明了这一定义及测得的角度范围。</w:t>
      </w:r>
    </w:p>
    <w:p>
      <w:r>
        <w:rPr>
          <w:b/>
        </w:rPr>
        <w:t>Transition：</w:t>
      </w:r>
      <w:r>
        <w:t>Next, link those features to environmental potential.</w:t>
      </w:r>
    </w:p>
    <w:p>
      <w:r>
        <w:rPr>
          <w:b/>
        </w:rPr>
        <w:t>过渡：</w:t>
      </w:r>
      <w:r>
        <w:t>接下来，说明这些结构特征与环境改善潜力之间的联系。</w:t>
      </w:r>
    </w:p>
    <w:p>
      <w:pPr>
        <w:pStyle w:val="Heading1"/>
      </w:pPr>
      <w:r>
        <w:t>03｜结构与冷却潜力</w:t>
      </w:r>
    </w:p>
    <w:p>
      <w:r>
        <w:rPr>
          <w:b/>
        </w:rPr>
        <w:t>English：</w:t>
      </w:r>
      <w:r>
        <w:t>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rPr>
          <w:b/>
        </w:rPr>
        <w:t>中文：</w:t>
      </w:r>
      <w:r>
        <w:t>冠层和叶片在太阳直射到达人体与地面之前对其进行遮挡。太阳射线箭头表示我们在光学情景中进行了量化的作用路径。蓝色箭头表示开放侧面可能保留的空气流动路径，并不是模拟得到的通风改善。植物水分的虚线箭头表示可能发生的蒸散作用，其效果取决于植物健康与供水条件。更密集的叶片也可能增加气流阻力。</w:t>
      </w:r>
    </w:p>
    <w:p>
      <w:r>
        <w:rPr>
          <w:b/>
        </w:rPr>
        <w:t>Transition：</w:t>
      </w:r>
      <w:r>
        <w:t>Material assignment follows the structural roles.</w:t>
      </w:r>
    </w:p>
    <w:p>
      <w:r>
        <w:rPr>
          <w:b/>
        </w:rPr>
        <w:t>过渡：</w:t>
      </w:r>
      <w:r>
        <w:t>材料配置需要对应不同的结构作用。</w:t>
      </w:r>
    </w:p>
    <w:p>
      <w:pPr>
        <w:pStyle w:val="Heading1"/>
      </w:pPr>
      <w:r>
        <w:t>04｜材料分区与用量</w:t>
      </w:r>
    </w:p>
    <w:p>
      <w:r>
        <w:rPr>
          <w:b/>
        </w:rPr>
        <w:t>English：</w:t>
      </w:r>
      <w:r>
        <w:t>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rPr>
          <w:b/>
        </w:rPr>
        <w:t>中文：</w:t>
      </w:r>
      <w:r>
        <w:t>模型取量得到12根落地支撑杆和47根冠层杆件，中心线总长为288.66米。我们拟采用外径80毫米、壁厚4毫米的钢管作为支撑，冠层则采用实心工程竹。这是一项材料配置方案，并不证明任一区域的结构安全已经得到验证。</w:t>
      </w:r>
    </w:p>
    <w:p>
      <w:r>
        <w:rPr>
          <w:b/>
        </w:rPr>
        <w:t>Transition：</w:t>
      </w:r>
      <w:r>
        <w:t>The screening table shows the inputs; the next decision is how to use them.</w:t>
      </w:r>
    </w:p>
    <w:p>
      <w:r>
        <w:rPr>
          <w:b/>
        </w:rPr>
        <w:t>过渡：</w:t>
      </w:r>
      <w:r>
        <w:t>筛选表展示了输入数据，接下来需要解释如何使用这些数据作出选择。</w:t>
      </w:r>
    </w:p>
    <w:p>
      <w:pPr>
        <w:pStyle w:val="Heading1"/>
      </w:pPr>
      <w:r>
        <w:t>05｜材料筛选数据</w:t>
      </w:r>
    </w:p>
    <w:p>
      <w:r>
        <w:rPr>
          <w:b/>
        </w:rPr>
        <w:t>English：</w:t>
      </w:r>
      <w:r>
        <w:t>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rPr>
          <w:b/>
        </w:rPr>
        <w:t>中文：</w:t>
      </w:r>
      <w:r>
        <w:t>这些是初步材料筛选输入。费用列均按相同的全部杆件长度计算，并不是最终采用的单元预算。钢材的名义抗弯承载力明显更高。冠层拟采用工程竹，但其刚度、防护处理和具体产品依据仍十分关键。原竹参考费用较低，也不能消除其性能离散与维护问题。</w:t>
      </w:r>
    </w:p>
    <w:p>
      <w:r>
        <w:rPr>
          <w:b/>
        </w:rPr>
        <w:t>Transition：</w:t>
      </w:r>
      <w:r>
        <w:t>These inputs motivate a hybrid strategy, with conditions attached.</w:t>
      </w:r>
    </w:p>
    <w:p>
      <w:r>
        <w:rPr>
          <w:b/>
        </w:rPr>
        <w:t>过渡：</w:t>
      </w:r>
      <w:r>
        <w:t>这些输入支持采用带有前提条件的混合材料策略。</w:t>
      </w:r>
    </w:p>
    <w:p>
      <w:pPr>
        <w:pStyle w:val="Heading1"/>
      </w:pPr>
      <w:r>
        <w:t>06｜为什么选择钢支撑与工程竹冠层</w:t>
      </w:r>
    </w:p>
    <w:p>
      <w:r>
        <w:rPr>
          <w:b/>
        </w:rPr>
        <w:t>English：</w:t>
      </w:r>
      <w:r>
        <w:t>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rPr>
          <w:b/>
        </w:rPr>
        <w:t>中文：</w:t>
      </w:r>
      <w:r>
        <w:t>工作簿将材料筛选与结构可行性门槛结合起来。钢材用于承受压力及风致弯曲的支撑杆。冠层结合成本和碳排输入采用竹材，但挠度校核表同时要求验证节点转动刚度。下方卡片概括了五项材料选择准则。杆件材料投入的节省，并不能直接证明整个单元总价更低。</w:t>
      </w:r>
    </w:p>
    <w:p>
      <w:r>
        <w:rPr>
          <w:b/>
        </w:rPr>
        <w:t>Transition：</w:t>
      </w:r>
      <w:r>
        <w:t>The next check shows why crown stiffness makes the joints important.</w:t>
      </w:r>
    </w:p>
    <w:p>
      <w:r>
        <w:rPr>
          <w:b/>
        </w:rPr>
        <w:t>过渡：</w:t>
      </w:r>
      <w:r>
        <w:t>下一项校核将说明，为什么冠层刚度会使连接节点变得重要。</w:t>
      </w:r>
    </w:p>
    <w:p>
      <w:pPr>
        <w:pStyle w:val="Heading1"/>
      </w:pPr>
      <w:r>
        <w:t>07｜节点与挠度</w:t>
      </w:r>
    </w:p>
    <w:p>
      <w:r>
        <w:rPr>
          <w:b/>
        </w:rPr>
        <w:t>English：</w:t>
      </w:r>
      <w:r>
        <w:t>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rPr>
          <w:b/>
        </w:rPr>
        <w:t>中文：</w:t>
      </w:r>
      <w:r>
        <w:t>对于同一个6.65米竹杆简化计算，简支条件下的挠度约为100.5毫米，理想两端固接条件下约为20.1毫米。采用的控制目标是33.25毫米，在图中位于两者之间。这说明需要进一步研究节点提供转动约束的能力。拟议节点并未证明已经具有这种约束能力，单根构件校核也不等于整体框架验算。</w:t>
      </w:r>
    </w:p>
    <w:p>
      <w:r>
        <w:rPr>
          <w:b/>
        </w:rPr>
        <w:t>Transition：</w:t>
      </w:r>
      <w:r>
        <w:t>The proposed node also has a significant budget allowance.</w:t>
      </w:r>
    </w:p>
    <w:p>
      <w:r>
        <w:rPr>
          <w:b/>
        </w:rPr>
        <w:t>过渡：</w:t>
      </w:r>
      <w:r>
        <w:t>拟议节点在预算中也占有较大的费用。</w:t>
      </w:r>
    </w:p>
    <w:p>
      <w:pPr>
        <w:pStyle w:val="Heading1"/>
      </w:pPr>
      <w:r>
        <w:t>08｜成本分析</w:t>
      </w:r>
    </w:p>
    <w:p>
      <w:r>
        <w:rPr>
          <w:b/>
        </w:rPr>
        <w:t>English：</w:t>
      </w:r>
      <w:r>
        <w:t>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rPr>
          <w:b/>
        </w:rPr>
        <w:t>中文：</w:t>
      </w:r>
      <w:r>
        <w:t>初步总价约为51,676元，材料费约占59%，其他类别包括加工、安装和养护。在材料费中，12个拟议节点合计12,000元，高于主体钢构件的费用。右侧构件费用表只是总价的一部分，不能再次加到总价上。</w:t>
      </w:r>
    </w:p>
    <w:p>
      <w:r>
        <w:rPr>
          <w:b/>
        </w:rPr>
        <w:t>Transition：</w:t>
      </w:r>
      <w:r>
        <w:t>Next, the carbon and maintenance picture.</w:t>
      </w:r>
    </w:p>
    <w:p>
      <w:r>
        <w:rPr>
          <w:b/>
        </w:rPr>
        <w:t>过渡：</w:t>
      </w:r>
      <w:r>
        <w:t>接下来介绍碳排与维护。</w:t>
      </w:r>
    </w:p>
    <w:p>
      <w:pPr>
        <w:pStyle w:val="Heading1"/>
      </w:pPr>
      <w:r>
        <w:t>09｜碳排与维护</w:t>
      </w:r>
    </w:p>
    <w:p>
      <w:r>
        <w:rPr>
          <w:b/>
        </w:rPr>
        <w:t>English：</w:t>
      </w:r>
      <w:r>
        <w:t>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rPr>
          <w:b/>
        </w:rPr>
        <w:t>中文：</w:t>
      </w:r>
      <w:r>
        <w:t>主体杆件和配重构成了当前碳排估算的大部分。配重约占39%，因此基础方案同样重要。这里展示的是采用的估算，而不是已经核验的生命周期评价结果。户外使用还需要钢材涂层维护、竹材防护处理和连接检查。产品碳因子以及实际节点材料的计入情况仍需核实。</w:t>
      </w:r>
    </w:p>
    <w:p>
      <w:r>
        <w:rPr>
          <w:b/>
        </w:rPr>
        <w:t>Transition：</w:t>
      </w:r>
      <w:r>
        <w:t>Plant choice adds another set of requirements.</w:t>
      </w:r>
    </w:p>
    <w:p>
      <w:r>
        <w:rPr>
          <w:b/>
        </w:rPr>
        <w:t>过渡：</w:t>
      </w:r>
      <w:r>
        <w:t>植物选择也带来了另一组需要考虑的条件。</w:t>
      </w:r>
    </w:p>
    <w:p>
      <w:pPr>
        <w:pStyle w:val="Heading1"/>
      </w:pPr>
      <w:r>
        <w:t>10｜植物选择</w:t>
      </w:r>
    </w:p>
    <w:p>
      <w:r>
        <w:rPr>
          <w:b/>
        </w:rPr>
        <w:t>English：</w:t>
      </w:r>
      <w:r>
        <w:t>The workbook selects two Boston ivy plants and one Rangoon creeper. Its screening considers seasonal leaf loss and attachment to the rods. Boston ivy uses tendrils with adhesive pads; Rangoon creeper twines; trumpet creeper has aerial roots. The first two have workbook wet-mass ranges of ten to eighteen kilograms per square metre. The beam calculation adopts eighteen, explicitly taking the upper end of the Boston ivy range. These are unverified reference inputs, not measured loads. The alternative range reaches twenty-five, so substitution requires a load review.</w:t>
      </w:r>
    </w:p>
    <w:p>
      <w:r>
        <w:rPr>
          <w:b/>
        </w:rPr>
        <w:t>中文：</w:t>
      </w:r>
      <w:r>
        <w:t>工作簿选用2株爬山虎和1株使君子，筛选时考虑季节性落叶与杆件攀附匹配。爬山虎通过带吸盘的卷须攀附，使君子缠绕，凌霄通过气生根攀附。前两种的工作簿参考湿重范围均为每平方米10至18千克。简化梁计算采用18，明确取自爬山虎范围的上限。这些是尚未核实原始来源的参考输入，而不是实测荷载。备选凌霄的范围上限达到25，因此替换时需要重新核查荷载。</w:t>
      </w:r>
    </w:p>
    <w:p>
      <w:r>
        <w:rPr>
          <w:b/>
        </w:rPr>
        <w:t>Transition：</w:t>
      </w:r>
      <w:r>
        <w:t>Next, the optical method used to evaluate shade.</w:t>
      </w:r>
    </w:p>
    <w:p>
      <w:r>
        <w:rPr>
          <w:b/>
        </w:rPr>
        <w:t>过渡：</w:t>
      </w:r>
      <w:r>
        <w:t>接下来介绍用于评价遮荫的光学方法。</w:t>
      </w:r>
    </w:p>
    <w:p>
      <w:pPr>
        <w:pStyle w:val="Heading1"/>
      </w:pPr>
      <w:r>
        <w:t>11｜两类遮荫指标</w:t>
      </w:r>
    </w:p>
    <w:p>
      <w:r>
        <w:rPr>
          <w:b/>
        </w:rPr>
        <w:t>English：</w:t>
      </w:r>
      <w:r>
        <w:t>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rPr>
          <w:b/>
        </w:rPr>
        <w:t>中文：</w:t>
      </w:r>
      <w:r>
        <w:t>第一个指标衡量理想连续叶面包络在目标区上的阴影重合。第二个指标包含裸架阴影、假设的叶簇、两者的重叠及叶片透射。我们用第一个指标比较日内与不同太阳季节条件下的结果，用第二个指标比较结构参数和植物覆盖情景。两者采用相同目标区，但百分比不能互换使用，也都不是温降。</w:t>
      </w:r>
    </w:p>
    <w:p>
      <w:r>
        <w:rPr>
          <w:b/>
        </w:rPr>
        <w:t>Transition：</w:t>
      </w:r>
      <w:r>
        <w:t>First, read the ideal daily result across the full time window.</w:t>
      </w:r>
    </w:p>
    <w:p>
      <w:r>
        <w:rPr>
          <w:b/>
        </w:rPr>
        <w:t>过渡：</w:t>
      </w:r>
      <w:r>
        <w:t>首先从完整时段理解理想遮荫结果。</w:t>
      </w:r>
    </w:p>
    <w:p>
      <w:pPr>
        <w:pStyle w:val="Heading1"/>
      </w:pPr>
      <w:r>
        <w:t>12｜时段与太阳季节结果</w:t>
      </w:r>
    </w:p>
    <w:p>
      <w:r>
        <w:rPr>
          <w:b/>
        </w:rPr>
        <w:t>English：</w:t>
      </w:r>
      <w:r>
        <w:t>The animation follows the existing solstice samples from nine to fifteen solar time. Overlap is about forty-seven percent at nine and fifteen, and almost ninety-nine percent at noon. The curve retains the full sequence and the equinox solar case, with time means of about seventy-five and fifty percent. The noon peak cannot stand for the whole use period: morning and afternoon exposure must be checked when placing seating. The equinox comparison changes solar conditions, not plant leaf cover.</w:t>
      </w:r>
    </w:p>
    <w:p>
      <w:r>
        <w:rPr>
          <w:b/>
        </w:rPr>
        <w:t>中文：</w:t>
      </w:r>
      <w:r>
        <w:t>动画按原有夏至采样，从太阳时9点播放到15点。9点和15点的重合率约为47%，正午接近99%。曲线保留完整时序及春秋分太阳条件下的情景，时段均值分别约为75%和50%。正午峰值不能代表整个使用时段：布置座椅时还需检查上午和下午的日照暴露。春秋分比较改变的是太阳条件，而不是植物叶片覆盖。</w:t>
      </w:r>
    </w:p>
    <w:p>
      <w:r>
        <w:rPr>
          <w:b/>
        </w:rPr>
        <w:t>Transition：</w:t>
      </w:r>
      <w:r>
        <w:t>We then change one geometric control at a time.</w:t>
      </w:r>
    </w:p>
    <w:p>
      <w:r>
        <w:rPr>
          <w:b/>
        </w:rPr>
        <w:t>过渡：</w:t>
      </w:r>
      <w:r>
        <w:t>随后，我们每次改变一个几何控制参数。</w:t>
      </w:r>
    </w:p>
    <w:p>
      <w:pPr>
        <w:pStyle w:val="Heading1"/>
      </w:pPr>
      <w:r>
        <w:t>13｜结构参数对遮荫的影响</w:t>
      </w:r>
    </w:p>
    <w:p>
      <w:r>
        <w:rPr>
          <w:b/>
        </w:rPr>
        <w:t>English：</w:t>
      </w:r>
      <w:r>
        <w:t>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rPr>
          <w:b/>
        </w:rPr>
        <w:t>中文：</w:t>
      </w:r>
      <w:r>
        <w:t>七个情景分别改变扩展系数、上部高度控制或圆角系数，每次只改变一项。在50%覆盖条件下，扩大冠层使平均等效直射遮挡率从52.3%变为66.1%，表中也保留了其他控制参数的结果。原报告提醒，同样的覆盖比例下，更大的冠层需要更多种植覆盖面积。这些遮荫比较没有保持投入相等，也没有确定最优方案。</w:t>
      </w:r>
    </w:p>
    <w:p>
      <w:r>
        <w:rPr>
          <w:b/>
        </w:rPr>
        <w:t>Transition：</w:t>
      </w:r>
      <w:r>
        <w:t>Next, keep the structure fixed and change foliage.</w:t>
      </w:r>
    </w:p>
    <w:p>
      <w:r>
        <w:rPr>
          <w:b/>
        </w:rPr>
        <w:t>过渡：</w:t>
      </w:r>
      <w:r>
        <w:t>接下来固定结构，改变植物覆盖。</w:t>
      </w:r>
    </w:p>
    <w:p>
      <w:pPr>
        <w:pStyle w:val="Heading1"/>
      </w:pPr>
      <w:r>
        <w:t>14｜覆盖率与叶片分布</w:t>
      </w:r>
    </w:p>
    <w:p>
      <w:r>
        <w:rPr>
          <w:b/>
        </w:rPr>
        <w:t>English：</w:t>
      </w:r>
      <w:r>
        <w:t>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rPr>
          <w:b/>
        </w:rPr>
        <w:t>中文：</w:t>
      </w:r>
      <w:r>
        <w:t>这条曲线区分了平面覆盖率和平均等效直射遮挡率。即使叶片覆盖为零，裸架本身也会产生遮荫。在这些情景中，覆盖率从80%增加到95%，平均等效直射遮挡率仅增加约2.8个百分点。另外，在相同50%覆盖率下，三种分布在正午产生的等效直射遮挡率为62.6%到77.5%。因此，原报告要求我们同时考虑叶片位置和使用时段的座椅布置，而不只是覆盖率。</w:t>
      </w:r>
    </w:p>
    <w:p>
      <w:r>
        <w:rPr>
          <w:b/>
        </w:rPr>
        <w:t>Transition：</w:t>
      </w:r>
      <w:r>
        <w:t>We connect that moving footprint to public use.</w:t>
      </w:r>
    </w:p>
    <w:p>
      <w:r>
        <w:rPr>
          <w:b/>
        </w:rPr>
        <w:t>过渡：</w:t>
      </w:r>
      <w:r>
        <w:t>随后，将移动的阴影与公共空间使用联系起来。</w:t>
      </w:r>
    </w:p>
    <w:p>
      <w:pPr>
        <w:pStyle w:val="Heading1"/>
      </w:pPr>
      <w:r>
        <w:t>15｜实际使用与布置</w:t>
      </w:r>
    </w:p>
    <w:p>
      <w:r>
        <w:rPr>
          <w:b/>
        </w:rPr>
        <w:t>English：</w:t>
      </w:r>
      <w:r>
        <w:t>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rPr>
          <w:b/>
        </w:rPr>
        <w:t>中文：</w:t>
      </w:r>
      <w:r>
        <w:t>动画保持覆盖率固定，仅改变太阳位置。座椅应按实际使用时段进行检查，同时为通行、配重、根区和维护留出空间。下一步验证是在真实场地同步开展冠下与无遮挡区域的环境观测。目前的分析尚未确定净可用遮荫地面面积，也没有实测热舒适改善结果。</w:t>
      </w:r>
    </w:p>
    <w:p>
      <w:r>
        <w:rPr>
          <w:b/>
        </w:rPr>
        <w:t>Transition：</w:t>
      </w:r>
      <w:r>
        <w:t>The last design link is construction organisation.</w:t>
      </w:r>
    </w:p>
    <w:p>
      <w:r>
        <w:rPr>
          <w:b/>
        </w:rPr>
        <w:t>过渡：</w:t>
      </w:r>
      <w:r>
        <w:t>最后一个设计环节是施工组织。</w:t>
      </w:r>
    </w:p>
    <w:p>
      <w:pPr>
        <w:pStyle w:val="Heading1"/>
      </w:pPr>
      <w:r>
        <w:t>16｜模块化施工</w:t>
      </w:r>
    </w:p>
    <w:p>
      <w:r>
        <w:rPr>
          <w:b/>
        </w:rPr>
        <w:t>English：</w:t>
      </w:r>
      <w:r>
        <w:t>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rPr>
          <w:b/>
        </w:rPr>
        <w:t>中文：</w:t>
      </w:r>
      <w:r>
        <w:t>方案将系统分为冠层杆件、支撑杆、连接、配重基础和种植模块。编号和预拼装有助于现场组织。不过，较重的配重决定了吊装要求，套管灌浆节点也需要养护和检查。14人工日是劳务投入估算，不是日历工期。不能将该系统表述为完全干式装配或无损可逆拆装。</w:t>
      </w:r>
    </w:p>
    <w:p>
      <w:r>
        <w:rPr>
          <w:b/>
        </w:rPr>
        <w:t>Transition：</w:t>
      </w:r>
      <w:r>
        <w:t>Finally, our delivered work and its next checks.</w:t>
      </w:r>
    </w:p>
    <w:p>
      <w:r>
        <w:rPr>
          <w:b/>
        </w:rPr>
        <w:t>过渡：</w:t>
      </w:r>
      <w:r>
        <w:t>最后总结我们的交付成果及下一步核查。</w:t>
      </w:r>
    </w:p>
    <w:p>
      <w:pPr>
        <w:pStyle w:val="Heading1"/>
      </w:pPr>
      <w:r>
        <w:t>17｜总结</w:t>
      </w:r>
    </w:p>
    <w:p>
      <w:r>
        <w:rPr>
          <w:b/>
        </w:rPr>
        <w:t>English：</w:t>
      </w:r>
      <w:r>
        <w:t>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rPr>
          <w:b/>
        </w:rPr>
        <w:t>中文：</w:t>
      </w:r>
      <w:r>
        <w:t>小组交付了参数化形态与取量、拟议的材料和建造策略，以及可复算的遮荫情景。补充材料包括7个参数模型、5档覆盖状态和1,750行时步结果。这些成果使设计决策能够追溯到依据。下一步需要核查产品数据、节点性能、植物适生性和真实场地表现。谢谢大家。</w:t>
      </w:r>
    </w:p>
    <w:p>
      <w:r>
        <w:rPr>
          <w:b/>
        </w:rPr>
        <w:t>Transition：</w:t>
      </w:r>
      <w:r>
        <w:t>We welcome your questions.</w:t>
      </w:r>
    </w:p>
    <w:p>
      <w:r>
        <w:rPr>
          <w:b/>
        </w:rPr>
        <w:t>过渡：</w:t>
      </w:r>
      <w:r>
        <w:t>欢迎提问。</w:t>
      </w:r>
    </w:p>
    <w:p>
      <w:pPr>
        <w:pStyle w:val="Heading1"/>
      </w:pPr>
      <w:r>
        <w:t>18｜参考文献与问答</w:t>
      </w:r>
    </w:p>
    <w:p>
      <w:r>
        <w:rPr>
          <w:b/>
        </w:rPr>
        <w:t>English：</w:t>
      </w:r>
      <w:r>
        <w:t>This is a reference and question page, not part of the planned spoken sequence. It identifies the literature leads and project evidence. Specific product parameters and standards still require original-source checks.</w:t>
      </w:r>
    </w:p>
    <w:p>
      <w:r>
        <w:rPr>
          <w:b/>
        </w:rPr>
        <w:t>中文：</w:t>
      </w:r>
      <w:r>
        <w:t>本页为参考文献与问答页，不属于计划中的正文讲述。它列出文献线索及项目依据。具体产品参数和标准仍需核对原始来源。</w:t>
      </w:r>
    </w:p>
    <w:p>
      <w:r>
        <w:rPr>
          <w:b/>
        </w:rPr>
        <w:t>Transition：</w:t>
      </w:r>
      <w:r>
        <w:t>Return to the relevant result slide during questions.</w:t>
      </w:r>
    </w:p>
    <w:p>
      <w:r>
        <w:rPr>
          <w:b/>
        </w:rPr>
        <w:t>过渡：</w:t>
      </w:r>
      <w:r>
        <w:t>根据提问返回相应的结果页。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