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绿色建筑英文 PPT：整体要求与逐页大纲</w:t>
      </w:r>
    </w:p>
    <w:p>
      <w:pPr/>
      <w:r>
        <w:t>版本：v0.9｜状态：完成页面信息量审查，建议19页（18页主讲＋1页参考备份），待用户确认；已读取参数与植物覆盖模拟包，建议填充第14页，待用户审核具体取舍；已完成参考适用性审查及逐页标注安排，联网原文核验受限；已按用户要求仅预留结构参数与遮阴拓展，内容待用户补充；已补充用户提供的参考线索与证据状态；已确认简约浅底与少量藤蔓装饰风格；按用户要求仅展示最终方案，不讲版本演变或其他整套方案。名称暂定 VineWeave Canopy（藤织荫冠）。完整 PPT 尚未开始。</w:t>
      </w:r>
    </w:p>
    <w:p>
      <w:pPr/>
      <w:r>
        <w:t>本文件是后续制作的工作依据。用户已明确要求最终为英文 PPT；本阶段更新整体要求和逐页大纲，并仅制作一页风格 demo。附件中的页数、时长、排版和“必须展示”属于既有交接意见；下文采用其中合理内容形成初版，最终以用户后续明确的要求为准。</w:t>
      </w:r>
    </w:p>
    <w:p>
      <w:pPr>
        <w:pStyle w:val="Heading1"/>
      </w:pPr>
      <w:r>
        <w:t>当前排版与页数决定（v0.9优先执行）</w:t>
      </w:r>
    </w:p>
    <w:p>
      <w:pPr/>
      <w:r>
        <w:t>本次检查是大纲层面的信息量评估，尚未制作正式页面，因此不是实际版面无溢出的验收。原第14页拆为冠幅参数与植物覆盖两页，建议总量19页（18页主讲＋1页参考备份）；其余页顺延。此为信息量审查后的建议，用户仍可选择维持18页，此时第14页必须只选一条主线而非把两个完整分析挤在一起。</w:t>
      </w:r>
    </w:p>
    <w:p>
      <w:pPr/>
      <w:r>
        <w:t>后文早期版本的18页、原页码和引用表作为历史记录保留；与本节不一致时，以当前19页逐页上屏内容表为准。不要把源资料清单、假设全文、完整中英文对照或备选图都当作需要投影的内容。</w:t>
      </w:r>
    </w:p>
    <w:p>
      <w:pPr>
        <w:pStyle w:val="Heading1"/>
      </w:pPr>
      <w:r>
        <w:t>一、汇报定位与初版范围</w:t>
      </w:r>
    </w:p>
    <w:p>
      <w:pPr/>
      <w:r>
        <w:t>暂定方案名称：VineWeave Canopy（藤织荫冠）</w:t>
      </w:r>
    </w:p>
    <w:p>
      <w:pPr/>
      <w:r>
        <w:t>建议标题：VineWeave Canopy: A Climbing-Plant Shade Structure。名称由 vine（藤蔓）与 weave（编织）组成，对应攀援植物和交织冠架；这是命名建议，不代表用户已最终确认。</w:t>
      </w:r>
    </w:p>
    <w:p>
      <w:pPr/>
      <w:r>
        <w:t>副标题建议：Design, Material Selection, Cost and Shading Performance。</w:t>
      </w:r>
    </w:p>
    <w:p>
      <w:pPr/>
      <w:r>
        <w:t>汇报核心问题：如何通过 最终树形冠架、材料分区和植物配置，形成一个具有低碳潜力、可解释造价和明确遮阴依据的步行休憩节点？</w:t>
      </w:r>
    </w:p>
    <w:p>
      <w:pPr/>
      <w:r>
        <w:t>核心论点：VineWeave 将树形支架、材料分区和爬藤植物整合为公共区域遮荫设施。其价值是组织局部有效遮阴、降低材料隐含碳并保持开放通行；材料节点、真实植物表现和热舒适改善仍需要验证。</w:t>
      </w:r>
    </w:p>
    <w:p>
      <w:pPr/>
      <w:r>
        <w:t>用户已确认这是全组整合汇报，课程名称为 green building。展示日期与学校标识暂不写入 PPT。全组成员与职责按用户提供截图；真实场地仍未确认。受众暂按课程教师及设计评审处理。</w:t>
      </w:r>
    </w:p>
    <w:p>
      <w:pPr/>
      <w:r>
        <w:t>用户确认的硬性要求：总页数在 20 页以内，展示 10—12 分钟，包含提问。 本稿继续建议总计 18 页（17 页主讲＋1 页来源/答辩备份，计入总页数），主讲目标约 8 分 30 秒至 9 分钟，留出 2—3 分钟问答；每页时间为初步预算，须以完整讲稿计时校准。</w:t>
      </w:r>
    </w:p>
    <w:p>
      <w:pPr>
        <w:pStyle w:val="Heading2"/>
      </w:pPr>
      <w:r>
        <w:t>本次作业的必展示内容（用户原意记录）</w:t>
      </w:r>
    </w:p>
    <w:p>
      <w:pPr/>
      <w:r>
        <w:t>项目：结合爬藤植物，设计结构优化的树形支架结构系统，作为公共区域遮荫设施，旨在改善行人热舒适度。</w:t>
      </w:r>
    </w:p>
    <w:tbl>
      <w:tblPr>
        <w:tblStyle w:val="TableGrid"/>
        <w:tblW w:type="auto" w:w="0"/>
        <w:tblLook w:firstColumn="1" w:firstRow="1" w:lastColumn="0" w:lastRow="0" w:noHBand="0" w:noVBand="1" w:val="04A0"/>
      </w:tblPr>
      <w:tblGrid>
        <w:gridCol w:w="2880"/>
        <w:gridCol w:w="2880"/>
        <w:gridCol w:w="2880"/>
      </w:tblGrid>
      <w:tr>
        <w:tc>
          <w:tcPr>
            <w:tcW w:type="dxa" w:w="2880"/>
          </w:tcPr>
          <w:p>
            <w:r>
              <w:t>必展示内容</w:t>
            </w:r>
          </w:p>
        </w:tc>
        <w:tc>
          <w:tcPr>
            <w:tcW w:type="dxa" w:w="2880"/>
          </w:tcPr>
          <w:p>
            <w:r>
              <w:t>对应页</w:t>
            </w:r>
          </w:p>
        </w:tc>
        <w:tc>
          <w:tcPr>
            <w:tcW w:type="dxa" w:w="2880"/>
          </w:tcPr>
          <w:p>
            <w:r>
              <w:t>证据状态</w:t>
            </w:r>
          </w:p>
        </w:tc>
      </w:tr>
      <w:tr>
        <w:tc>
          <w:tcPr>
            <w:tcW w:type="dxa" w:w="2880"/>
          </w:tcPr>
          <w:p>
            <w:r>
              <w:t>确定结构材料类型</w:t>
            </w:r>
          </w:p>
        </w:tc>
        <w:tc>
          <w:tcPr>
            <w:tcW w:type="dxa" w:w="2880"/>
          </w:tcPr>
          <w:p>
            <w:r>
              <w:t>5—9</w:t>
            </w:r>
          </w:p>
        </w:tc>
        <w:tc>
          <w:tcPr>
            <w:tcW w:type="dxa" w:w="2880"/>
          </w:tcPr>
          <w:p>
            <w:r>
              <w:t>材料比选与概算已提供；完整结构安全尚待验证</w:t>
            </w:r>
          </w:p>
        </w:tc>
      </w:tr>
      <w:tr>
        <w:tc>
          <w:tcPr>
            <w:tcW w:type="dxa" w:w="2880"/>
          </w:tcPr>
          <w:p>
            <w:r>
              <w:t>确定几何参数</w:t>
            </w:r>
          </w:p>
        </w:tc>
        <w:tc>
          <w:tcPr>
            <w:tcW w:type="dxa" w:w="2880"/>
          </w:tcPr>
          <w:p>
            <w:r>
              <w:t>3—4</w:t>
            </w:r>
          </w:p>
        </w:tc>
        <w:tc>
          <w:tcPr>
            <w:tcW w:type="dxa" w:w="2880"/>
          </w:tcPr>
          <w:p>
            <w:r>
              <w:t>最终几何、参数和冠层布局已有材料</w:t>
            </w:r>
          </w:p>
        </w:tc>
      </w:tr>
      <w:tr>
        <w:tc>
          <w:tcPr>
            <w:tcW w:type="dxa" w:w="2880"/>
          </w:tcPr>
          <w:p>
            <w:r>
              <w:t>设计冠层布局并分析遮荫面积影响</w:t>
            </w:r>
          </w:p>
        </w:tc>
        <w:tc>
          <w:tcPr>
            <w:tcW w:type="dxa" w:w="2880"/>
          </w:tcPr>
          <w:p>
            <w:r>
              <w:t>4、12—14</w:t>
            </w:r>
          </w:p>
        </w:tc>
        <w:tc>
          <w:tcPr>
            <w:tcW w:type="dxa" w:w="2880"/>
          </w:tcPr>
          <w:p>
            <w:r>
              <w:t>假设场景下几何投影与敏感性结果已有</w:t>
            </w:r>
          </w:p>
        </w:tc>
      </w:tr>
      <w:tr>
        <w:tc>
          <w:tcPr>
            <w:tcW w:type="dxa" w:w="2880"/>
          </w:tcPr>
          <w:p>
            <w:r>
              <w:t>分析冠层布局对通风的影响</w:t>
            </w:r>
          </w:p>
        </w:tc>
        <w:tc>
          <w:tcPr>
            <w:tcW w:type="dxa" w:w="2880"/>
          </w:tcPr>
          <w:p>
            <w:r>
              <w:t>11、15</w:t>
            </w:r>
          </w:p>
        </w:tc>
        <w:tc>
          <w:tcPr>
            <w:tcW w:type="dxa" w:w="2880"/>
          </w:tcPr>
          <w:p>
            <w:r>
              <w:t>必须明确讨论；当前仅定性推理和验证计划，无 CFD/实测数值</w:t>
            </w:r>
          </w:p>
        </w:tc>
      </w:tr>
      <w:tr>
        <w:tc>
          <w:tcPr>
            <w:tcW w:type="dxa" w:w="2880"/>
          </w:tcPr>
          <w:p>
            <w:r>
              <w:t>考虑模块化组装与施工便捷性</w:t>
            </w:r>
          </w:p>
        </w:tc>
        <w:tc>
          <w:tcPr>
            <w:tcW w:type="dxa" w:w="2880"/>
          </w:tcPr>
          <w:p>
            <w:r>
              <w:t>7、16</w:t>
            </w:r>
          </w:p>
        </w:tc>
        <w:tc>
          <w:tcPr>
            <w:tcW w:type="dxa" w:w="2880"/>
          </w:tcPr>
          <w:p>
            <w:r>
              <w:t>必须进入主讲，展示预制、运输、吊装、刚接及养护的取舍</w:t>
            </w:r>
          </w:p>
        </w:tc>
      </w:tr>
    </w:tbl>
    <w:p>
      <w:pPr/>
      <w:r>
        <w:t>不能仅以一条“开放侧界有助通风”代替布局影响分析；也不能因缺少数值结果而编造风速提升。完整定量通风分析目前是资料缺口，需在展示中清晰区分。</w:t>
      </w:r>
    </w:p>
    <w:p>
      <w:pPr>
        <w:pStyle w:val="Heading1"/>
      </w:pPr>
      <w:r>
        <w:t>二、PPT 整体要求</w:t>
      </w:r>
    </w:p>
    <w:p>
      <w:pPr>
        <w:pStyle w:val="Heading2"/>
      </w:pPr>
      <w:r>
        <w:t>1. 内容与语言</w:t>
      </w:r>
    </w:p>
    <w:p>
      <w:pPr>
        <w:pStyle w:val="ListBullet"/>
      </w:pPr>
      <w:r>
        <w:t>标题、正文、图表、图例和单位说明统一用英文。第一页成员中文姓名保留原字，职责按截图忠实翻译；未经确认不自拟姓名拼音。策划文档保留中文，方便讨论。</w:t>
      </w:r>
    </w:p>
    <w:p>
      <w:pPr>
        <w:pStyle w:val="ListBullet"/>
      </w:pPr>
      <w:r>
        <w:t>用户已确认：第一页必须展示全组成员分工，以所提供图片中的文字为准。以下中文原文是权威记录，英文为对应译稿，不以早期附件中的分工摘要替代。</w:t>
      </w:r>
    </w:p>
    <w:p>
      <w:pPr>
        <w:pStyle w:val="ListBullet"/>
      </w:pPr>
      <w:r>
        <w:t>讲述顺序：设计问题 → 最终形态与布局 → 材料分区 → 节点与成本碳排 → 遮阴证据 → 应用及验证 → 结论。</w:t>
      </w:r>
    </w:p>
    <w:p>
      <w:pPr>
        <w:pStyle w:val="ListBullet"/>
      </w:pPr>
      <w:r>
        <w:t>使用清晰、简短、适合口头汇报的英文，不整段照搬报告。每页围绕一个结论，正文通常不超过 3—4 条。</w:t>
      </w:r>
    </w:p>
    <w:p>
      <w:pPr>
        <w:pStyle w:val="ListBullet"/>
      </w:pPr>
      <w:r>
        <w:t>术语统一：VineWeave Canopy；proposed engineered bamboo（产品身份核实后再统一为具体竹材名）；galvanised Q355B steel；rigid/moment connection；embodied carbon；ideal geometric shade overlap；proposed leaf envelope。</w:t>
      </w:r>
    </w:p>
    <w:p>
      <w:pPr>
        <w:pStyle w:val="ListBullet"/>
      </w:pPr>
      <w:r>
        <w:t>正式 PPT 使用可编辑文字、形状和图表优先；CAD 图与科学图可作为高分辨率图像，关键标签尽量保持可编辑。这是初版建议，非用户已确认格式。</w:t>
      </w:r>
    </w:p>
    <w:p>
      <w:pPr>
        <w:pStyle w:val="ListBullet"/>
      </w:pPr>
      <w:r>
        <w:t>后续可配逐页英文讲稿及备注，但当前只确定大纲。</w:t>
      </w:r>
    </w:p>
    <w:p>
      <w:pPr>
        <w:pStyle w:val="Heading2"/>
      </w:pPr>
      <w:r>
        <w:t>2. 视觉与排版建议</w:t>
      </w:r>
    </w:p>
    <w:p>
      <w:pPr>
        <w:pStyle w:val="ListBullet"/>
      </w:pPr>
      <w:r>
        <w:t>16:9 横版。整体采用简洁的建筑评审图册风格，留白充分，图大于文字。</w:t>
      </w:r>
    </w:p>
    <w:p>
      <w:pPr>
        <w:pStyle w:val="ListBullet"/>
      </w:pPr>
      <w:r>
        <w:t>建议色系：深蓝 #1F4E79、钢蓝 #3E6E9E、竹色 #AA7E4A、绿色 #1C6C42、警示橙 #C8794A、浅底 #F4F6F9。</w:t>
      </w:r>
    </w:p>
    <w:p>
      <w:pPr>
        <w:pStyle w:val="ListBullet"/>
      </w:pPr>
      <w:r>
        <w:t>暂建议用四部分导航：Design &amp; Geometry / Materials &amp; Feasibility / Cost &amp; Carbon / Shading &amp; Application。允许后续调整，不强行照搬参考截图的章节。</w:t>
      </w:r>
    </w:p>
    <w:p>
      <w:pPr>
        <w:pStyle w:val="ListBullet"/>
      </w:pPr>
      <w:r>
        <w:t>暂建议 Calibri 或可用的近似无衬线字体；不沿用截图中的斜体衬线正文。标题约 28—34 pt，正文约 20—24 pt，图表标签原则上不低于 16 pt。</w:t>
      </w:r>
    </w:p>
    <w:p>
      <w:pPr>
        <w:pStyle w:val="ListBullet"/>
      </w:pPr>
      <w:r>
        <w:t>参考截图用于信息类型与版式启发，不作为本项目数据来源，也不直接复刻其密集表格。</w:t>
      </w:r>
    </w:p>
    <w:p>
      <w:pPr>
        <w:pStyle w:val="ListBullet"/>
      </w:pPr>
      <w:r>
        <w:t>表格优先精简到 5—6 列，不整页截图 Excel。图中明确单位、条件、数据来源与估算状态。</w:t>
      </w:r>
    </w:p>
    <w:p>
      <w:pPr>
        <w:pStyle w:val="Heading2"/>
      </w:pPr>
      <w:r>
        <w:t>3. 数据及证据要求</w:t>
      </w:r>
    </w:p>
    <w:p>
      <w:pPr>
        <w:pStyle w:val="ListBullet"/>
      </w:pPr>
      <w:r>
        <w:t>用户已确认：汇报仅展示最终方案，页面标题、正文、图例、图片内嵌标签和讲稿不出现 D版/C版/原参数等版本称谓；不展示形态演变或其他整套结构方案对比。</w:t>
      </w:r>
    </w:p>
    <w:p>
      <w:pPr>
        <w:pStyle w:val="ListBullet"/>
      </w:pPr>
      <w:r>
        <w:t>源文件名中的版本字母仅作内部溯源；呈现时使用 VineWeave Canopy 或 the proposed canopy。材料候选比较用于说明选材，仍保留。现成对比图不得直接使用，应只提取最终方案数据。</w:t>
      </w:r>
    </w:p>
    <w:p>
      <w:pPr>
        <w:pStyle w:val="ListBullet"/>
      </w:pPr>
      <w:r>
        <w:t>不混入早期“5 m 圆冠、19.63 m²”的结果。</w:t>
      </w:r>
    </w:p>
    <w:p>
      <w:pPr>
        <w:pStyle w:val="ListBullet"/>
      </w:pPr>
      <w:r>
        <w:t>区分四种证据：已有 CAD 几何、假设下几何计算、材料/造价估算、尚待验证的结构与热环境表现。</w:t>
      </w:r>
    </w:p>
    <w:p>
      <w:pPr>
        <w:pStyle w:val="ListBullet"/>
      </w:pPr>
      <w:r>
        <w:t>数值必须保留口径。例如 98.7% 是假设连续叶面在夏至正午对固定参考区的几何重合率，不是现场实测遮阴率。</w:t>
      </w:r>
    </w:p>
    <w:p>
      <w:pPr>
        <w:pStyle w:val="ListBullet"/>
      </w:pPr>
      <w:r>
        <w:t>不声称固定气温降幅、Tmrt/UTCI 改善、CFD 或 Ladybug 模拟结果；当前材料没有这些成果。</w:t>
      </w:r>
    </w:p>
    <w:p>
      <w:pPr>
        <w:pStyle w:val="ListBullet"/>
      </w:pPr>
      <w:r>
        <w:t>材料造价中的强度、挠度与节点刚度是交接稿计算/假设，不表述为已通过结构验证。有效封闭 CAD 实体不等于结构安全。</w:t>
      </w:r>
    </w:p>
    <w:p>
      <w:pPr>
        <w:pStyle w:val="ListBullet"/>
      </w:pPr>
      <w:r>
        <w:t>金额以 CNY 表示；碳排以 kgCO₂e/unit 表示，注明材料中采用的 A1–A3 边界，生物碳单列，不直接抵扣。</w:t>
      </w:r>
    </w:p>
    <w:p>
      <w:pPr>
        <w:pStyle w:val="ListBullet"/>
      </w:pPr>
      <w:r>
        <w:t>原报告 4,653 → 1,581 kgCO₂e 的减幅应约为 66.0%；含共用配重的 5,891 → 2,820 减幅约为 52.1%。不得将两组数据都写成 52%。</w:t>
      </w:r>
    </w:p>
    <w:p>
      <w:pPr>
        <w:pStyle w:val="ListBullet"/>
      </w:pPr>
      <w:r>
        <w:t>造价为概算而非报价；Cost-Analysis.xlsx 已由用户补充，已阅读全部 9 张工作表并核对主要数据。它补齐源表，但不能将其中估算和假设视为报价或验证成果；部分旧描述仍需协调。</w:t>
      </w:r>
    </w:p>
    <w:p>
      <w:pPr>
        <w:pStyle w:val="ListBullet"/>
      </w:pPr>
      <w:r>
        <w:t>文献用于方法和机制支持，不把其他项目测得的降温值转移给 D 版。</w:t>
      </w:r>
    </w:p>
    <w:p>
      <w:pPr>
        <w:pStyle w:val="Heading1"/>
      </w:pPr>
      <w:r>
        <w:t>三、逐页展示大纲</w:t>
      </w:r>
    </w:p>
    <w:p>
      <w:pPr/>
      <w:r>
        <w:t>以下是初版建议，英文标题为候选页标题；“主要展示”用于指导后续取舍，不是最终页面全文。</w:t>
      </w:r>
    </w:p>
    <w:p>
      <w:pPr>
        <w:pStyle w:val="Heading2"/>
      </w:pPr>
      <w:r>
        <w:t>第 1 页｜小组成员分工（用户已确认）</w:t>
      </w:r>
    </w:p>
    <w:p>
      <w:pPr/>
      <w:r>
        <w:t>最终上屏内容上限（优先于下方资料清单）： 五位成员全部保留，采用 Member / Responsibility &amp; Key Work / Deliverables 三列；忠实压缩为短语，大方向融入职责。完整截图转录和英文长句留在备注/策划文档。全页目标约90—110英文词（姓名另计），不加大模型图。</w:t>
      </w:r>
    </w:p>
    <w:p>
      <w:pPr/>
      <w:r>
        <w:t>页面引用要求： 无需学术引用；分工以用户截图为准。</w:t>
      </w:r>
    </w:p>
    <w:p>
      <w:pPr/>
      <w:r>
        <w:t>English title: Team Members and Responsibilities</w:t>
      </w:r>
    </w:p>
    <w:p>
      <w:pPr>
        <w:pStyle w:val="ListBullet"/>
      </w:pPr>
      <w:r>
        <w:t>第一页以成员分工为主体，项目名可以作为小标题；不能只做封面或用大幅模型图挤占分工内容。</w:t>
      </w:r>
    </w:p>
    <w:p>
      <w:pPr>
        <w:pStyle w:val="ListBullet"/>
      </w:pPr>
      <w:r>
        <w:t>必须涵盖五位成员、负责模块、具体工作与最终交付。内容依据本次用户截图，不能删去 PPT 整合与汇报答辩两项角色。</w:t>
      </w:r>
    </w:p>
    <w:p>
      <w:pPr>
        <w:pStyle w:val="ListBullet"/>
      </w:pPr>
      <w:r>
        <w:t>推荐版式：五行成员矩阵；列为 Member / Role / Module / Key Tasks / Deliverables。允许以忠实的短语排版，但不改变分工含义。若无法容纳，应减少装饰或调整布局，不优先牺牲文字可读性。</w:t>
      </w:r>
    </w:p>
    <w:p>
      <w:pPr>
        <w:pStyle w:val="ListBullet"/>
      </w:pPr>
      <w:r>
        <w:t>以下完整中文记录用于核对；正式英文 PPT 使用其对应译文。页内不必再另放一份中文表。</w:t>
      </w:r>
    </w:p>
    <w:p>
      <w:pPr>
        <w:pStyle w:val="ListBullet"/>
      </w:pPr>
      <w:r>
        <w:t>建议口述：约 20—25 秒，简要介绍职责，不逐字朗读全表。</w:t>
      </w:r>
    </w:p>
    <w:p>
      <w:pPr>
        <w:pStyle w:val="Heading3"/>
      </w:pPr>
      <w:r>
        <w:t>分工原文（以用户截图为准）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成员</w:t>
            </w:r>
          </w:p>
        </w:tc>
        <w:tc>
          <w:tcPr>
            <w:tcW w:type="dxa" w:w="1728"/>
          </w:tcPr>
          <w:p>
            <w:r>
              <w:t>大方向</w:t>
            </w:r>
          </w:p>
        </w:tc>
        <w:tc>
          <w:tcPr>
            <w:tcW w:type="dxa" w:w="1728"/>
          </w:tcPr>
          <w:p>
            <w:r>
              <w:t>负责模块</w:t>
            </w:r>
          </w:p>
        </w:tc>
        <w:tc>
          <w:tcPr>
            <w:tcW w:type="dxa" w:w="1728"/>
          </w:tcPr>
          <w:p>
            <w:r>
              <w:t>具体工作内容</w:t>
            </w:r>
          </w:p>
        </w:tc>
        <w:tc>
          <w:tcPr>
            <w:tcW w:type="dxa" w:w="1728"/>
          </w:tcPr>
          <w:p>
            <w:r>
              <w:t>最终交付</w:t>
            </w:r>
          </w:p>
        </w:tc>
      </w:tr>
      <w:tr>
        <w:tc>
          <w:tcPr>
            <w:tcW w:type="dxa" w:w="1728"/>
          </w:tcPr>
          <w:p>
            <w:r>
              <w:t>臧唯羽</w:t>
            </w:r>
          </w:p>
        </w:tc>
        <w:tc>
          <w:tcPr>
            <w:tcW w:type="dxa" w:w="1728"/>
          </w:tcPr>
          <w:p>
            <w:r>
              <w:t>设计</w:t>
            </w:r>
          </w:p>
        </w:tc>
        <w:tc>
          <w:tcPr>
            <w:tcW w:type="dxa" w:w="1728"/>
          </w:tcPr>
          <w:p>
            <w:r>
              <w:t>结构形态设计与参数化建模</w:t>
            </w:r>
          </w:p>
        </w:tc>
        <w:tc>
          <w:tcPr>
            <w:tcW w:type="dxa" w:w="1728"/>
          </w:tcPr>
          <w:p>
            <w:r>
              <w:t>确定树形支架方案；使用 Rhino / Grasshopper 建立模型；确定高度、冠幅、倾角等几何参数；完成结构优化及技术图纸</w:t>
            </w:r>
          </w:p>
        </w:tc>
        <w:tc>
          <w:tcPr>
            <w:tcW w:type="dxa" w:w="1728"/>
          </w:tcPr>
          <w:p>
            <w:r>
              <w:t>三维模型、平面图、立面图、关键参数图</w:t>
            </w:r>
          </w:p>
        </w:tc>
      </w:tr>
      <w:tr>
        <w:tc>
          <w:tcPr>
            <w:tcW w:type="dxa" w:w="1728"/>
          </w:tcPr>
          <w:p>
            <w:r>
              <w:t>林新淇</w:t>
            </w:r>
          </w:p>
        </w:tc>
        <w:tc>
          <w:tcPr>
            <w:tcW w:type="dxa" w:w="1728"/>
          </w:tcPr>
          <w:p>
            <w:r>
              <w:t>设计</w:t>
            </w:r>
          </w:p>
        </w:tc>
        <w:tc>
          <w:tcPr>
            <w:tcW w:type="dxa" w:w="1728"/>
          </w:tcPr>
          <w:p>
            <w:r>
              <w:t>材料选型与建造可行性分析</w:t>
            </w:r>
          </w:p>
        </w:tc>
        <w:tc>
          <w:tcPr>
            <w:tcW w:type="dxa" w:w="1728"/>
          </w:tcPr>
          <w:p>
            <w:r>
              <w:t>对比木材、竹材、金属等材料的耐久性、成本、导热性和碳排放；研究适合的攀援植物；制定模块化装配方案；进行材料用量估算与成本分析</w:t>
            </w:r>
          </w:p>
        </w:tc>
        <w:tc>
          <w:tcPr>
            <w:tcW w:type="dxa" w:w="1728"/>
          </w:tcPr>
          <w:p>
            <w:r>
              <w:t>材料对比表、材料选型依据、模块化建造分析、成本估算表</w:t>
            </w:r>
          </w:p>
        </w:tc>
      </w:tr>
      <w:tr>
        <w:tc>
          <w:tcPr>
            <w:tcW w:type="dxa" w:w="1728"/>
          </w:tcPr>
          <w:p>
            <w:r>
              <w:t>虞寒哲</w:t>
            </w:r>
          </w:p>
        </w:tc>
        <w:tc>
          <w:tcPr>
            <w:tcW w:type="dxa" w:w="1728"/>
          </w:tcPr>
          <w:p>
            <w:r>
              <w:t>设计</w:t>
            </w:r>
          </w:p>
        </w:tc>
        <w:tc>
          <w:tcPr>
            <w:tcW w:type="dxa" w:w="1728"/>
          </w:tcPr>
          <w:p>
            <w:r>
              <w:t>遮阴降温性能与应用分析</w:t>
            </w:r>
          </w:p>
        </w:tc>
        <w:tc>
          <w:tcPr>
            <w:tcW w:type="dxa" w:w="1728"/>
          </w:tcPr>
          <w:p>
            <w:r>
              <w:t>调研遮阴、通风与行人热舒适度的关系；研究不同冠层形态对遮阴效果的影响；确定评价指标；根据最终方案进行遮阴效果分析；提出适用场景与设计说明</w:t>
            </w:r>
          </w:p>
        </w:tc>
        <w:tc>
          <w:tcPr>
            <w:tcW w:type="dxa" w:w="1728"/>
          </w:tcPr>
          <w:p>
            <w:r>
              <w:t>遮阴性能分析、降温作用逻辑图、场景适用性分析、一页设计说明</w:t>
            </w:r>
          </w:p>
        </w:tc>
      </w:tr>
      <w:tr>
        <w:tc>
          <w:tcPr>
            <w:tcW w:type="dxa" w:w="1728"/>
          </w:tcPr>
          <w:p>
            <w:r>
              <w:t>徐世程</w:t>
            </w:r>
          </w:p>
        </w:tc>
        <w:tc>
          <w:tcPr>
            <w:tcW w:type="dxa" w:w="1728"/>
          </w:tcPr>
          <w:p>
            <w:r>
              <w:t>PPT</w:t>
            </w:r>
          </w:p>
        </w:tc>
        <w:tc>
          <w:tcPr>
            <w:tcW w:type="dxa" w:w="1728"/>
          </w:tcPr>
          <w:p>
            <w:r>
              <w:t>PPT制作与整合</w:t>
            </w:r>
          </w:p>
        </w:tc>
        <w:tc>
          <w:tcPr>
            <w:tcW w:type="dxa" w:w="1728"/>
          </w:tcPr>
          <w:p>
            <w:r>
              <w:t>制定汇报框架，整合三部分内容，统一图表、排版及视觉呈现</w:t>
            </w:r>
          </w:p>
        </w:tc>
        <w:tc>
          <w:tcPr>
            <w:tcW w:type="dxa" w:w="1728"/>
          </w:tcPr>
          <w:p>
            <w:r>
              <w:t>20页以内的汇报PPT</w:t>
            </w:r>
          </w:p>
        </w:tc>
      </w:tr>
      <w:tr>
        <w:tc>
          <w:tcPr>
            <w:tcW w:type="dxa" w:w="1728"/>
          </w:tcPr>
          <w:p>
            <w:r>
              <w:t>陈淼</w:t>
            </w:r>
          </w:p>
        </w:tc>
        <w:tc>
          <w:tcPr>
            <w:tcW w:type="dxa" w:w="1728"/>
          </w:tcPr>
          <w:p>
            <w:r>
              <w:t>pre</w:t>
            </w:r>
          </w:p>
        </w:tc>
        <w:tc>
          <w:tcPr>
            <w:tcW w:type="dxa" w:w="1728"/>
          </w:tcPr>
          <w:p>
            <w:r>
              <w:t>汇报与答辩</w:t>
            </w:r>
          </w:p>
        </w:tc>
        <w:tc>
          <w:tcPr>
            <w:tcW w:type="dxa" w:w="1728"/>
          </w:tcPr>
          <w:p>
            <w:r>
              <w:t>梳理汇报逻辑，撰写讲稿，负责英文汇报、时间控制及答辩准备</w:t>
            </w:r>
          </w:p>
        </w:tc>
        <w:tc>
          <w:tcPr>
            <w:tcW w:type="dxa" w:w="1728"/>
          </w:tcPr>
          <w:p>
            <w:r>
              <w:t>汇报讲稿、现场汇报</w:t>
            </w:r>
          </w:p>
        </w:tc>
      </w:tr>
    </w:tbl>
    <w:p>
      <w:pPr>
        <w:pStyle w:val="Heading3"/>
      </w:pPr>
      <w:r>
        <w:t>对应英文内容初稿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Member</w:t>
            </w:r>
          </w:p>
        </w:tc>
        <w:tc>
          <w:tcPr>
            <w:tcW w:type="dxa" w:w="1728"/>
          </w:tcPr>
          <w:p>
            <w:r>
              <w:t>Role</w:t>
            </w:r>
          </w:p>
        </w:tc>
        <w:tc>
          <w:tcPr>
            <w:tcW w:type="dxa" w:w="1728"/>
          </w:tcPr>
          <w:p>
            <w:r>
              <w:t>Module</w:t>
            </w:r>
          </w:p>
        </w:tc>
        <w:tc>
          <w:tcPr>
            <w:tcW w:type="dxa" w:w="1728"/>
          </w:tcPr>
          <w:p>
            <w:r>
              <w:t>Key Tasks</w:t>
            </w:r>
          </w:p>
        </w:tc>
        <w:tc>
          <w:tcPr>
            <w:tcW w:type="dxa" w:w="1728"/>
          </w:tcPr>
          <w:p>
            <w:r>
              <w:t>Deliverables</w:t>
            </w:r>
          </w:p>
        </w:tc>
      </w:tr>
      <w:tr>
        <w:tc>
          <w:tcPr>
            <w:tcW w:type="dxa" w:w="1728"/>
          </w:tcPr>
          <w:p>
            <w:r>
              <w:t>臧唯羽</w:t>
            </w:r>
          </w:p>
        </w:tc>
        <w:tc>
          <w:tcPr>
            <w:tcW w:type="dxa" w:w="1728"/>
          </w:tcPr>
          <w:p>
            <w:r>
              <w:t>Design</w:t>
            </w:r>
          </w:p>
        </w:tc>
        <w:tc>
          <w:tcPr>
            <w:tcW w:type="dxa" w:w="1728"/>
          </w:tcPr>
          <w:p>
            <w:r>
              <w:t>Structural Form Design &amp; Parametric Modelling</w:t>
            </w:r>
          </w:p>
        </w:tc>
        <w:tc>
          <w:tcPr>
            <w:tcW w:type="dxa" w:w="1728"/>
          </w:tcPr>
          <w:p>
            <w:r>
              <w:t>Define the tree-like support; model in Rhino/Grasshopper; set height, crown spread and inclination; optimise the structure and prepare technical drawings.</w:t>
            </w:r>
          </w:p>
        </w:tc>
        <w:tc>
          <w:tcPr>
            <w:tcW w:type="dxa" w:w="1728"/>
          </w:tcPr>
          <w:p>
            <w:r>
              <w:t>3D model; plans; elevations; key parameter diagrams.</w:t>
            </w:r>
          </w:p>
        </w:tc>
      </w:tr>
      <w:tr>
        <w:tc>
          <w:tcPr>
            <w:tcW w:type="dxa" w:w="1728"/>
          </w:tcPr>
          <w:p>
            <w:r>
              <w:t>林新淇</w:t>
            </w:r>
          </w:p>
        </w:tc>
        <w:tc>
          <w:tcPr>
            <w:tcW w:type="dxa" w:w="1728"/>
          </w:tcPr>
          <w:p>
            <w:r>
              <w:t>Design</w:t>
            </w:r>
          </w:p>
        </w:tc>
        <w:tc>
          <w:tcPr>
            <w:tcW w:type="dxa" w:w="1728"/>
          </w:tcPr>
          <w:p>
            <w:r>
              <w:t>Material Selection &amp; Construction Feasibility</w:t>
            </w:r>
          </w:p>
        </w:tc>
        <w:tc>
          <w:tcPr>
            <w:tcW w:type="dxa" w:w="1728"/>
          </w:tcPr>
          <w:p>
            <w:r>
              <w:t>Compare wood, bamboo and metals for durability, cost, thermal conductivity and carbon emissions; investigate climbing plants; plan modular assembly; estimate material quantities and costs.</w:t>
            </w:r>
          </w:p>
        </w:tc>
        <w:tc>
          <w:tcPr>
            <w:tcW w:type="dxa" w:w="1728"/>
          </w:tcPr>
          <w:p>
            <w:r>
              <w:t>Material comparison; selection rationale; modular construction analysis; cost estimate.</w:t>
            </w:r>
          </w:p>
        </w:tc>
      </w:tr>
      <w:tr>
        <w:tc>
          <w:tcPr>
            <w:tcW w:type="dxa" w:w="1728"/>
          </w:tcPr>
          <w:p>
            <w:r>
              <w:t>虞寒哲</w:t>
            </w:r>
          </w:p>
        </w:tc>
        <w:tc>
          <w:tcPr>
            <w:tcW w:type="dxa" w:w="1728"/>
          </w:tcPr>
          <w:p>
            <w:r>
              <w:t>Design</w:t>
            </w:r>
          </w:p>
        </w:tc>
        <w:tc>
          <w:tcPr>
            <w:tcW w:type="dxa" w:w="1728"/>
          </w:tcPr>
          <w:p>
            <w:r>
              <w:t>Shading, Cooling Potential &amp; Application Analysis</w:t>
            </w:r>
          </w:p>
        </w:tc>
        <w:tc>
          <w:tcPr>
            <w:tcW w:type="dxa" w:w="1728"/>
          </w:tcPr>
          <w:p>
            <w:r>
              <w:t>Review shading, ventilation and pedestrian thermal comfort; compare canopy forms; define evaluation metrics; analyse the final scheme’s shade; identify applications and explain the design.</w:t>
            </w:r>
          </w:p>
        </w:tc>
        <w:tc>
          <w:tcPr>
            <w:tcW w:type="dxa" w:w="1728"/>
          </w:tcPr>
          <w:p>
            <w:r>
              <w:t>Shading analysis; cooling-mechanism diagram; application assessment; one-page design statement.</w:t>
            </w:r>
          </w:p>
        </w:tc>
      </w:tr>
      <w:tr>
        <w:tc>
          <w:tcPr>
            <w:tcW w:type="dxa" w:w="1728"/>
          </w:tcPr>
          <w:p>
            <w:r>
              <w:t>徐世程</w:t>
            </w:r>
          </w:p>
        </w:tc>
        <w:tc>
          <w:tcPr>
            <w:tcW w:type="dxa" w:w="1728"/>
          </w:tcPr>
          <w:p>
            <w:r>
              <w:t>PPT</w:t>
            </w:r>
          </w:p>
        </w:tc>
        <w:tc>
          <w:tcPr>
            <w:tcW w:type="dxa" w:w="1728"/>
          </w:tcPr>
          <w:p>
            <w:r>
              <w:t>Presentation Production &amp; Integration</w:t>
            </w:r>
          </w:p>
        </w:tc>
        <w:tc>
          <w:tcPr>
            <w:tcW w:type="dxa" w:w="1728"/>
          </w:tcPr>
          <w:p>
            <w:r>
              <w:t>Develop the presentation structure; integrate the three design modules; unify charts, layout and visual presentation.</w:t>
            </w:r>
          </w:p>
        </w:tc>
        <w:tc>
          <w:tcPr>
            <w:tcW w:type="dxa" w:w="1728"/>
          </w:tcPr>
          <w:p>
            <w:r>
              <w:t>Presentation deck within 20 slides.</w:t>
            </w:r>
          </w:p>
        </w:tc>
      </w:tr>
      <w:tr>
        <w:tc>
          <w:tcPr>
            <w:tcW w:type="dxa" w:w="1728"/>
          </w:tcPr>
          <w:p>
            <w:r>
              <w:t>陈淼</w:t>
            </w:r>
          </w:p>
        </w:tc>
        <w:tc>
          <w:tcPr>
            <w:tcW w:type="dxa" w:w="1728"/>
          </w:tcPr>
          <w:p>
            <w:r>
              <w:t>Presentation</w:t>
            </w:r>
          </w:p>
        </w:tc>
        <w:tc>
          <w:tcPr>
            <w:tcW w:type="dxa" w:w="1728"/>
          </w:tcPr>
          <w:p>
            <w:r>
              <w:t>Oral Presentation &amp; Q&amp;A</w:t>
            </w:r>
          </w:p>
        </w:tc>
        <w:tc>
          <w:tcPr>
            <w:tcW w:type="dxa" w:w="1728"/>
          </w:tcPr>
          <w:p>
            <w:r>
              <w:t>Organise the presentation narrative; write the script; deliver the English presentation; manage timing and prepare for Q&amp;A.</w:t>
            </w:r>
          </w:p>
        </w:tc>
        <w:tc>
          <w:tcPr>
            <w:tcW w:type="dxa" w:w="1728"/>
          </w:tcPr>
          <w:p>
            <w:r>
              <w:t>Presentation script; live presentation.</w:t>
            </w:r>
          </w:p>
        </w:tc>
      </w:tr>
    </w:tbl>
    <w:p>
      <w:pPr/>
      <w:r>
        <w:t>英文表将原图中的 “pre” 解释为 Presentation；该解释仅用于英文表达，中文原文保留 “pre”。“20页以内”按截图忠实记录为 within 20 slides；本稿现有 18 页建议满足该上限。分工描述的是负责工作，不意味着对应分析、验证或交付已经全部完成。</w:t>
      </w:r>
    </w:p>
    <w:p>
      <w:pPr>
        <w:pStyle w:val="Heading2"/>
      </w:pPr>
      <w:r>
        <w:t>第 2 页｜设计问题与目标</w:t>
      </w:r>
    </w:p>
    <w:p>
      <w:pPr/>
      <w:r>
        <w:t>最终上屏内容上限（优先于下方资料清单）： 一个三段示意＋一句目标（约25—35英文词）；根区、灌溉和维护细节交后页，不在此展开。</w:t>
      </w:r>
    </w:p>
    <w:p>
      <w:pPr/>
      <w:r>
        <w:t>页面引用要求： 遮阴目标句末 [1]，蒸腾机制句末 [2]；不引用外部数值作为本方案表现。</w:t>
      </w:r>
    </w:p>
    <w:p>
      <w:pPr/>
      <w:r>
        <w:t>English title: A Local Rest Node, Not a Street-Wide Cooling Claim</w:t>
      </w:r>
    </w:p>
    <w:p>
      <w:pPr>
        <w:pStyle w:val="ListBullet"/>
      </w:pPr>
      <w:r>
        <w:t>页面结论：服务校园或口袋公园的局部停留，以遮阴、通行和可维护性为目标。</w:t>
      </w:r>
    </w:p>
    <w:p>
      <w:pPr>
        <w:pStyle w:val="ListBullet"/>
      </w:pPr>
      <w:r>
        <w:t>主要展示：行人短时停留需求；太阳暴露；根区、供水、养护与开放侧界。</w:t>
      </w:r>
    </w:p>
    <w:p>
      <w:pPr>
        <w:pStyle w:val="ListBullet"/>
      </w:pPr>
      <w:r>
        <w:t>推荐图示：“使用问题 → 设计响应 → 需验证结果”的三段图，不虚构真实场地照片或测量。</w:t>
      </w:r>
    </w:p>
    <w:p>
      <w:pPr>
        <w:pStyle w:val="ListBullet"/>
      </w:pPr>
      <w:r>
        <w:t>来源：一页英文设计说明、中英文性能报告。</w:t>
      </w:r>
    </w:p>
    <w:p>
      <w:pPr>
        <w:pStyle w:val="ListBullet"/>
      </w:pPr>
      <w:r>
        <w:t>建议口述：约 25 秒。</w:t>
      </w:r>
    </w:p>
    <w:p>
      <w:pPr>
        <w:pStyle w:val="Heading2"/>
      </w:pPr>
      <w:r>
        <w:t>第 3 页｜最终方案几何与参数</w:t>
      </w:r>
    </w:p>
    <w:p>
      <w:pPr/>
      <w:r>
        <w:t>最终上屏内容上限（优先于下方资料清单）： 一幅轴测主图＋小型平立面组合；仅平面尺寸、总高、杆件数量、外径四类标签。圆角/扩展系数留讲稿。</w:t>
      </w:r>
    </w:p>
    <w:p>
      <w:pPr/>
      <w:r>
        <w:t>页面引用要求： 图下及参数旁：Source: project model (P1).</w:t>
      </w:r>
    </w:p>
    <w:p>
      <w:pPr/>
      <w:r>
        <w:t>English title: VineWeave Canopy: Geometry and Key Parameters</w:t>
      </w:r>
    </w:p>
    <w:p>
      <w:pPr>
        <w:pStyle w:val="ListBullet"/>
      </w:pPr>
      <w:r>
        <w:t>页面结论：以圆角浅拱冠树形支架作为最终几何基础。</w:t>
      </w:r>
    </w:p>
    <w:p>
      <w:pPr>
        <w:pStyle w:val="ListBullet"/>
      </w:pPr>
      <w:r>
        <w:t>主要展示：约 6.22 × 6.66 m，最高约 3.48 m；59 个封闭管状实体；几何半径 40 mm。</w:t>
      </w:r>
    </w:p>
    <w:p>
      <w:pPr>
        <w:pStyle w:val="ListBullet"/>
      </w:pPr>
      <w:r>
        <w:t>仅选择必要参数：corner factor 0.85、upper expansion 1.08；其余放备注或备份。</w:t>
      </w:r>
    </w:p>
    <w:p>
      <w:pPr>
        <w:pStyle w:val="ListBullet"/>
      </w:pPr>
      <w:r>
        <w:t>推荐图示：轴测主图＋简洁平立面＋3 张尺度卡片。</w:t>
      </w:r>
    </w:p>
    <w:p>
      <w:pPr>
        <w:pStyle w:val="ListBullet"/>
      </w:pPr>
      <w:r>
        <w:t>来源：D 实体轴测、平立面图、参数 JSON。</w:t>
      </w:r>
    </w:p>
    <w:p>
      <w:pPr>
        <w:pStyle w:val="ListBullet"/>
      </w:pPr>
      <w:r>
        <w:t>注意：几何直径不代表模型已指定材料与壁厚；材料规格在后续页说明。</w:t>
      </w:r>
    </w:p>
    <w:p>
      <w:pPr>
        <w:pStyle w:val="ListBullet"/>
      </w:pPr>
      <w:r>
        <w:t>建议口述：约 30 秒。</w:t>
      </w:r>
    </w:p>
    <w:p>
      <w:pPr>
        <w:pStyle w:val="Heading2"/>
      </w:pPr>
      <w:r>
        <w:t>第 4 页｜冠层布局与空间组织</w:t>
      </w:r>
    </w:p>
    <w:p>
      <w:pPr/>
      <w:r>
        <w:t>最终上屏内容上限（优先于下方资料清单）： 一幅带3处标注的布局图：crown / central opening / open sides。支撑受力交第5页，通风机制交第11页。</w:t>
      </w:r>
    </w:p>
    <w:p>
      <w:pPr/>
      <w:r>
        <w:t>页面引用要求： 图下 P1/P4；通风箭头注明概念示意，非模拟。</w:t>
      </w:r>
    </w:p>
    <w:p>
      <w:pPr/>
      <w:r>
        <w:t>English title: A Broad Crown with an Open Pedestrian Edge</w:t>
      </w:r>
    </w:p>
    <w:p>
      <w:pPr>
        <w:pStyle w:val="ListBullet"/>
      </w:pPr>
      <w:r>
        <w:t>页面结论：通过交织浅拱冠架支持爬藤生长，以开敞侧界组织停留和通行。</w:t>
      </w:r>
    </w:p>
    <w:p>
      <w:pPr>
        <w:pStyle w:val="ListBullet"/>
      </w:pPr>
      <w:r>
        <w:t>主要展示：最终方案平面、冠层交织关系、中央开口、支撑汇聚和侧向开放；说明这些几何特征与遮阴、植物攀附、气流通路及通行的联系。</w:t>
      </w:r>
    </w:p>
    <w:p>
      <w:pPr>
        <w:pStyle w:val="ListBullet"/>
      </w:pPr>
      <w:r>
        <w:t>推荐图示：只展示最终方案的俯视与轴测，使用少量标注区分 crown / support / central opening / open sides。不要出现其他方案或版本标签。</w:t>
      </w:r>
    </w:p>
    <w:p>
      <w:pPr>
        <w:pStyle w:val="ListBullet"/>
      </w:pPr>
      <w:r>
        <w:t>植物叶面与中央孔仍是拟议分析设定，不当作实测成冠；通风为设计意图，不宣称已验证改善。</w:t>
      </w:r>
    </w:p>
    <w:p>
      <w:pPr>
        <w:pStyle w:val="ListBullet"/>
      </w:pPr>
      <w:r>
        <w:t>来源：最终模型、平立面和杆架/叶面对照；原有图中版本文字需按最终名称重制，不能直接带入。</w:t>
      </w:r>
    </w:p>
    <w:p>
      <w:pPr>
        <w:pStyle w:val="ListBullet"/>
      </w:pPr>
      <w:r>
        <w:t>建议口述：约 25 秒。</w:t>
      </w:r>
    </w:p>
    <w:p>
      <w:pPr>
        <w:pStyle w:val="Heading2"/>
      </w:pPr>
      <w:r>
        <w:t>第 5 页｜材料分区的结构逻辑</w:t>
      </w:r>
    </w:p>
    <w:p>
      <w:pPr/>
      <w:r>
        <w:t>最终上屏内容上限（优先于下方资料清单）： 一幅两色分区图＋12 steel supports / 47 bamboo crown members。两组长度可作小标签，不再加质量、碳排、造价图。</w:t>
      </w:r>
    </w:p>
    <w:p>
      <w:pPr/>
      <w:r>
        <w:t>页面引用要求： 数量、长度及分区图下 P1/P3。</w:t>
      </w:r>
    </w:p>
    <w:p>
      <w:pPr/>
      <w:r>
        <w:t>English title: One Material per Structural Role</w:t>
      </w:r>
    </w:p>
    <w:p>
      <w:pPr>
        <w:pStyle w:val="ListBullet"/>
      </w:pPr>
      <w:r>
        <w:t>页面结论：依据构件角色选择材料，而不是全架统一材料。</w:t>
      </w:r>
    </w:p>
    <w:p>
      <w:pPr>
        <w:pStyle w:val="ListBullet"/>
      </w:pPr>
      <w:r>
        <w:t>主要展示：12 根落地支撑采用钢材，47 根冠部构件采用重组竹；支撑约 69.38 m，冠部约 219.28 m。</w:t>
      </w:r>
    </w:p>
    <w:p>
      <w:pPr>
        <w:pStyle w:val="ListBullet"/>
      </w:pPr>
      <w:r>
        <w:t>推荐图示：蓝色钢支撑、竹色冠部的分区示意＋数量和长度标签。</w:t>
      </w:r>
    </w:p>
    <w:p>
      <w:pPr>
        <w:pStyle w:val="ListBullet"/>
      </w:pPr>
      <w:r>
        <w:t>来源：材料造价交接稿及内嵌 zoning 图。</w:t>
      </w:r>
    </w:p>
    <w:p>
      <w:pPr>
        <w:pStyle w:val="ListBullet"/>
      </w:pPr>
      <w:r>
        <w:t>注意：两种判别方法均给出 12/47 的说法来自交接稿，当前未独立复测。</w:t>
      </w:r>
    </w:p>
    <w:p>
      <w:pPr>
        <w:pStyle w:val="ListBullet"/>
      </w:pPr>
      <w:r>
        <w:t>建议口述：约 35 秒。</w:t>
      </w:r>
    </w:p>
    <w:p>
      <w:pPr>
        <w:pStyle w:val="Heading2"/>
      </w:pPr>
      <w:r>
        <w:t>第 6 页｜材料比较与选型</w:t>
      </w:r>
    </w:p>
    <w:p>
      <w:pPr/>
      <w:r>
        <w:t>最终上屏内容上限（优先于下方资料清单）： 只选钢、拟议工程竹、木材三类代表，比较承载适用性、耐久维护、导热、碳因子四项；尽量只保留直接决策相关数值，其余短语表达。未核参数必须标为 preliminary，不用未核星级伪造排名。完整5规格比较留备注。</w:t>
      </w:r>
    </w:p>
    <w:p>
      <w:pPr/>
      <w:r>
        <w:t>页面引用要求： 表内各数据项分别对应来源；未核标准/数据库 S/DB 条目待核准，竹材输入加星号说明待产品证据。</w:t>
      </w:r>
    </w:p>
    <w:p>
      <w:pPr/>
      <w:r>
        <w:t>English title: No Material Wins Every Criterion</w:t>
      </w:r>
    </w:p>
    <w:p>
      <w:pPr>
        <w:pStyle w:val="ListBullet"/>
      </w:pPr>
      <w:r>
        <w:t>页面结论：钢材承担支撑要求，重组竹在碳排、耐久和力学之间折中。</w:t>
      </w:r>
    </w:p>
    <w:p>
      <w:pPr>
        <w:pStyle w:val="ListBullet"/>
      </w:pPr>
      <w:r>
        <w:t>主要展示：5 个候选规格/材料，以弯矩承载、导热、隐含碳、材料概算和耐久性比较；突出两个 USED 选项。</w:t>
      </w:r>
    </w:p>
    <w:p>
      <w:pPr>
        <w:pStyle w:val="ListBullet"/>
      </w:pPr>
      <w:r>
        <w:t>推荐图示：简化比较表，不直接投影完整材料矩阵；必要时将价格换成相对成本等级。</w:t>
      </w:r>
    </w:p>
    <w:p>
      <w:pPr>
        <w:pStyle w:val="ListBullet"/>
      </w:pPr>
      <w:r>
        <w:t>来源：交接稿内嵌 material table。</w:t>
      </w:r>
    </w:p>
    <w:p>
      <w:pPr>
        <w:pStyle w:val="ListBullet"/>
      </w:pPr>
      <w:r>
        <w:t>注意：材料表的全长单材比较以 288.66 m 为基准，不能误读为最终分区方案的造价。</w:t>
      </w:r>
    </w:p>
    <w:p>
      <w:pPr>
        <w:pStyle w:val="ListBullet"/>
      </w:pPr>
      <w:r>
        <w:t>建议口述：约 30 秒。</w:t>
      </w:r>
    </w:p>
    <w:p>
      <w:pPr>
        <w:pStyle w:val="Heading2"/>
      </w:pPr>
      <w:r>
        <w:t>第 7 页｜刚性节点使竹冠成为有条件的方案</w:t>
      </w:r>
    </w:p>
    <w:p>
      <w:pPr/>
      <w:r>
        <w:t>最终上屏内容上限（优先于下方资料清单）： 一张2柱挠度比图＋小节点示意＋一句刚度条件；不加节点费用和碳排图，费用在第8页。</w:t>
      </w:r>
    </w:p>
    <w:p>
      <w:pPr/>
      <w:r>
        <w:t>页面引用要求： 挠度图下 P3，紧邻注明简化梁、假定约束和输入；L/200 不宣称规范已验证。</w:t>
      </w:r>
    </w:p>
    <w:p>
      <w:pPr/>
      <w:r>
        <w:t>English title: Rigid Joints Enable the Bamboo Crown—Conditionally</w:t>
      </w:r>
    </w:p>
    <w:p>
      <w:pPr>
        <w:pStyle w:val="ListBullet"/>
      </w:pPr>
      <w:r>
        <w:t>页面结论：方案成立依赖足够节点刚度，不能只看竹材强度。</w:t>
      </w:r>
    </w:p>
    <w:p>
      <w:pPr>
        <w:pStyle w:val="ListBullet"/>
      </w:pPr>
      <w:r>
        <w:t>主要展示：最长跨度 6.65 m，交接稿中挠度/限值比由铰接假设 3.02 变为刚接假设 0.60；12 个支撑头节点。</w:t>
      </w:r>
    </w:p>
    <w:p>
      <w:pPr>
        <w:pStyle w:val="ListBullet"/>
      </w:pPr>
      <w:r>
        <w:t>推荐图示：铰接与刚接的挠度比条形图，限值线标为 1.0；搭配概念节点示意，标明非施工详图。</w:t>
      </w:r>
    </w:p>
    <w:p>
      <w:pPr>
        <w:pStyle w:val="ListBullet"/>
      </w:pPr>
      <w:r>
        <w:t>代价：节点费用约 12,000 CNY；灌浆/刚接方案削弱原概念的可逆拆装性。</w:t>
      </w:r>
    </w:p>
    <w:p>
      <w:pPr>
        <w:pStyle w:val="ListBullet"/>
      </w:pPr>
      <w:r>
        <w:t>来源：交接稿 joint case 图、结构说明与问答。</w:t>
      </w:r>
    </w:p>
    <w:p>
      <w:pPr>
        <w:pStyle w:val="ListBullet"/>
      </w:pPr>
      <w:r>
        <w:t>必须保留：节点转动刚度、详细构造和抗风尚待结构团队验证。</w:t>
      </w:r>
    </w:p>
    <w:p>
      <w:pPr>
        <w:pStyle w:val="ListBullet"/>
      </w:pPr>
      <w:r>
        <w:t>建议口述：约 40 秒。</w:t>
      </w:r>
    </w:p>
    <w:p>
      <w:pPr>
        <w:pStyle w:val="Heading2"/>
      </w:pPr>
      <w:r>
        <w:t>第 8 页｜材料与单元造价概算</w:t>
      </w:r>
    </w:p>
    <w:p>
      <w:pPr/>
      <w:r>
        <w:t>最终上屏内容上限（优先于下方资料清单）： 一个七类成本横条图＋总价51,676 CNY；仅突出节点成本。不要再同时放四构件表和单位米/千克费用。</w:t>
      </w:r>
    </w:p>
    <w:p>
      <w:pPr/>
      <w:r>
        <w:t>页面引用要求： 总价及成本图下 P3，写 Preliminary estimate / not a quotation。</w:t>
      </w:r>
    </w:p>
    <w:p>
      <w:pPr/>
      <w:r>
        <w:t>English title: An Estimated 51,676 CNY per Unit</w:t>
      </w:r>
    </w:p>
    <w:p>
      <w:pPr>
        <w:pStyle w:val="ListBullet"/>
      </w:pPr>
      <w:r>
        <w:t>页面结论：竹冠不是整体降价方案，节点成本抵消了部分材料节省。</w:t>
      </w:r>
    </w:p>
    <w:p>
      <w:pPr>
        <w:pStyle w:val="ListBullet"/>
      </w:pPr>
      <w:r>
        <w:t>主要展示：冠部竹材 7,716；钢支撑 4,421；节点 12,000；配重 3,402 CNY；总额 51,676 CNY。</w:t>
      </w:r>
    </w:p>
    <w:p>
      <w:pPr>
        <w:pStyle w:val="ListBullet"/>
      </w:pPr>
      <w:r>
        <w:t>推荐图示：四类主要构件精简表＋总价卡片，或七类总成本条形图。</w:t>
      </w:r>
    </w:p>
    <w:p>
      <w:pPr>
        <w:pStyle w:val="ListBullet"/>
      </w:pPr>
      <w:r>
        <w:t>必须标明：四项构件小计不等于总价；总额还包含制作、安装、运输、种植、养护及其他费用，具体分类以交接稿概算为准。</w:t>
      </w:r>
    </w:p>
    <w:p>
      <w:pPr>
        <w:pStyle w:val="ListBullet"/>
      </w:pPr>
      <w:r>
        <w:t>以最终方案成本组成和节点占比解释施工代价，不安排全钢整套方案造价对比。</w:t>
      </w:r>
    </w:p>
    <w:p>
      <w:pPr>
        <w:pStyle w:val="ListBullet"/>
      </w:pPr>
      <w:r>
        <w:t>来源：材料造价交接稿、cost 图；已获得源工作簿并核对总额，全部仍为待报价概算。</w:t>
      </w:r>
    </w:p>
    <w:p>
      <w:pPr>
        <w:pStyle w:val="ListBullet"/>
      </w:pPr>
      <w:r>
        <w:t>建议口述：约 35 秒。</w:t>
      </w:r>
    </w:p>
    <w:p>
      <w:pPr>
        <w:pStyle w:val="Heading2"/>
      </w:pPr>
      <w:r>
        <w:t>第 9 页｜材料碳排与耐久维护</w:t>
      </w:r>
    </w:p>
    <w:p>
      <w:pPr/>
      <w:r>
        <w:t>最终上屏内容上限（优先于下方资料清单）： 一个三部分碳排组成条＋总量约2,820 kgCO₂e；耐久维护最多一行短语，工程细项留备注。</w:t>
      </w:r>
    </w:p>
    <w:p>
      <w:pPr/>
      <w:r>
        <w:t>页面引用要求： 碳图下 P3；因子及边界待核状态紧邻总量，不能仅藏于参考页。</w:t>
      </w:r>
    </w:p>
    <w:p>
      <w:pPr/>
      <w:r>
        <w:t>English title: Embodied Carbon and Long-Term Care</w:t>
      </w:r>
    </w:p>
    <w:p>
      <w:pPr>
        <w:pStyle w:val="ListBullet"/>
      </w:pPr>
      <w:r>
        <w:t>页面结论：说明最终方案碳排的组成和耐久维护责任，形成绿色建筑评价依据。</w:t>
      </w:r>
    </w:p>
    <w:p>
      <w:pPr>
        <w:pStyle w:val="ListBullet"/>
      </w:pPr>
      <w:r>
        <w:t>主要展示：最终方案参考总量约 2,820 kgCO₂e/unit，其中主体约 1,581、配重约 1,089、其他构件约 150；配重占约 39%。全部为源表参考因子下的估算。</w:t>
      </w:r>
    </w:p>
    <w:p>
      <w:pPr>
        <w:pStyle w:val="ListBullet"/>
      </w:pPr>
      <w:r>
        <w:t>推荐图示：单方案碳排组成条＋钢防腐、竹防护与更换、节点复检三个维护图标。</w:t>
      </w:r>
    </w:p>
    <w:p>
      <w:pPr>
        <w:pStyle w:val="ListBullet"/>
      </w:pPr>
      <w:r>
        <w:t>不展示全钢/全竹/其他整套方案对比，也不把 52%/66% 对比减排率放入主讲。候选材料本身的碳因子可在第 6 页比较。</w:t>
      </w:r>
    </w:p>
    <w:p>
      <w:pPr>
        <w:pStyle w:val="ListBullet"/>
      </w:pPr>
      <w:r>
        <w:t>必须注明碳排范围与估算性质；节点钢材是否充分计入仍需核对。生物碳不直接抵扣，耐久年限不作为保证值。</w:t>
      </w:r>
    </w:p>
    <w:p>
      <w:pPr>
        <w:pStyle w:val="ListBullet"/>
      </w:pPr>
      <w:r>
        <w:t>来源：工作簿“材料比选”碳排表、交接稿；因子原始来源仍待确认。</w:t>
      </w:r>
    </w:p>
    <w:p>
      <w:pPr>
        <w:pStyle w:val="ListBullet"/>
      </w:pPr>
      <w:r>
        <w:t>建议口述：约 30 秒。</w:t>
      </w:r>
    </w:p>
    <w:p>
      <w:pPr>
        <w:pStyle w:val="Heading2"/>
      </w:pPr>
      <w:r>
        <w:t>第 10 页｜植物配置与维护接口</w:t>
      </w:r>
    </w:p>
    <w:p>
      <w:pPr/>
      <w:r>
        <w:t>最终上屏内容上限（优先于下方资料清单）： 三个候选植物卡，每卡只写名称、攀附方式和一个筛选提醒；一行维护关键词。LAI、湿重矩阵和年限不堆上屏。</w:t>
      </w:r>
    </w:p>
    <w:p>
      <w:pPr/>
      <w:r>
        <w:t>页面引用要求： 候选方案 P3；湿重、LAI、生长与物候若展示须有对应依据，否则标情景输入。</w:t>
      </w:r>
    </w:p>
    <w:p>
      <w:pPr/>
      <w:r>
        <w:t>English title: Planting Is a Performance Dependency</w:t>
      </w:r>
    </w:p>
    <w:p>
      <w:pPr>
        <w:pStyle w:val="ListBullet"/>
      </w:pPr>
      <w:r>
        <w:t>页面结论：植物是形成遮阴的条件，同时引入湿重、供水和维护要求。</w:t>
      </w:r>
    </w:p>
    <w:p>
      <w:pPr>
        <w:pStyle w:val="ListBullet"/>
      </w:pPr>
      <w:r>
        <w:t>主要展示：交接稿拟选 Boston ivy、Trumpet creeper、Rangoon creeper；拟议湿重 10—18 kg/m²；选择应兼顾攀附方式、季节性与结构荷载。</w:t>
      </w:r>
    </w:p>
    <w:p>
      <w:pPr>
        <w:pStyle w:val="ListBullet"/>
      </w:pPr>
      <w:r>
        <w:t>推荐图示：3 个植物候选卡＋根区/灌溉/引导/修剪的维护链。</w:t>
      </w:r>
    </w:p>
    <w:p>
      <w:pPr>
        <w:pStyle w:val="ListBullet"/>
      </w:pPr>
      <w:r>
        <w:t>来源：交接稿 plants 表及性能报告。</w:t>
      </w:r>
    </w:p>
    <w:p>
      <w:pPr>
        <w:pStyle w:val="ListBullet"/>
      </w:pPr>
      <w:r>
        <w:t>注意：这些是材料中的候选，不是已确认适生配置；尤其 Rangoon creeper 的越冬与落叶习性应按真实地点核查，不承诺生长周期或覆盖率。</w:t>
      </w:r>
    </w:p>
    <w:p>
      <w:pPr>
        <w:pStyle w:val="ListBullet"/>
      </w:pPr>
      <w:r>
        <w:t>建议口述：约 25 秒。</w:t>
      </w:r>
    </w:p>
    <w:p>
      <w:pPr>
        <w:pStyle w:val="Heading2"/>
      </w:pPr>
      <w:r>
        <w:t>第 11 页｜冠层布局、通风与热舒适机制</w:t>
      </w:r>
    </w:p>
    <w:p>
      <w:pPr/>
      <w:r>
        <w:t>最终上屏内容上限（优先于下方资料清单）： 一张概念剖面，3处短标注解释冠层覆盖、开放侧界与气流；不再另加机制流程、两套布局图和验证步骤。明确 Conceptual airflow—not simulated。</w:t>
      </w:r>
    </w:p>
    <w:p>
      <w:pPr/>
      <w:r>
        <w:t>页面引用要求： 遮阴/蒸腾机制 [1,2]；气流图单独标 Conceptual airflow—not simulated (P4)。</w:t>
      </w:r>
    </w:p>
    <w:p>
      <w:pPr/>
      <w:r>
        <w:t>English title: Canopy Layout Shapes Shade and Airflow</w:t>
      </w:r>
    </w:p>
    <w:p>
      <w:pPr>
        <w:pStyle w:val="ListBullet"/>
      </w:pPr>
      <w:r>
        <w:t>页面结论：遮阴旨在降低辐射暴露，蒸腾和通风效果取决于环境条件。</w:t>
      </w:r>
    </w:p>
    <w:p>
      <w:pPr>
        <w:pStyle w:val="ListBullet"/>
      </w:pPr>
      <w:r>
        <w:t>主要展示：植物遮阴 → 人体/地面短波暴露降低 → 潜在辐射热负荷改善；蒸腾受供水及植物状态影响；开放侧界保留气流空间。</w:t>
      </w:r>
    </w:p>
    <w:p>
      <w:pPr>
        <w:pStyle w:val="ListBullet"/>
      </w:pPr>
      <w:r>
        <w:t>必须分析布局变量：宽冠与高覆盖改善遮阴，但更密枝叶可能增加气流阻力；开敞侧界提供气流通道；中央开口可能形成局部通路，但无证据证明其产生烟囱效应。实际效果受冠层孔隙、来风方向和周边遮挡共同影响。以上是待检验的定性判断，不是既成效果。</w:t>
      </w:r>
    </w:p>
    <w:p>
      <w:pPr>
        <w:pStyle w:val="ListBullet"/>
      </w:pPr>
      <w:r>
        <w:t>推荐图示：同一尺度的低/高覆盖与开敞边界示意，以虚线箭头标记“Conceptual airflow—not simulated”；搭配遮阴—孔隙—通行的权衡说明。</w:t>
      </w:r>
    </w:p>
    <w:p>
      <w:pPr>
        <w:pStyle w:val="ListBullet"/>
      </w:pPr>
      <w:r>
        <w:t>验证建议：在固定来风条件下比较不同布局与覆盖率的行人高度风速、遮阴面积，后续通过测量或 CFD 验证。</w:t>
      </w:r>
    </w:p>
    <w:p>
      <w:pPr>
        <w:pStyle w:val="ListBullet"/>
      </w:pPr>
      <w:r>
        <w:t>来源：中英文报告、作用逻辑图、所引文献。</w:t>
      </w:r>
    </w:p>
    <w:p>
      <w:pPr>
        <w:pStyle w:val="ListBullet"/>
      </w:pPr>
      <w:r>
        <w:t>注意：不把开放侧界表述为 CFD 已证明的风速改善。</w:t>
      </w:r>
    </w:p>
    <w:p>
      <w:pPr>
        <w:pStyle w:val="ListBullet"/>
      </w:pPr>
      <w:r>
        <w:t>建议口述：约 20 秒。</w:t>
      </w:r>
    </w:p>
    <w:p>
      <w:pPr>
        <w:pStyle w:val="Heading2"/>
      </w:pPr>
      <w:r>
        <w:t>第 12 页｜遮阴计算的条件与边界</w:t>
      </w:r>
    </w:p>
    <w:p>
      <w:pPr/>
      <w:r>
        <w:t>最终上屏内容上限（优先于下方资料清单）： 一个太阳—叶面—参考区示意＋4项输入标签：30°N、solar time、23.23m² target、assumed foliage。用一行指标键区分第13页理想几何重合率与第14—15页等效直射阻断率；详细公式和孔参数留备注。</w:t>
      </w:r>
    </w:p>
    <w:p>
      <w:pPr/>
      <w:r>
        <w:t>页面引用要求： 太阳方法 [3]；叶面、参考区及方向假设 P2。</w:t>
      </w:r>
    </w:p>
    <w:p>
      <w:pPr/>
      <w:r>
        <w:t>English title: What the Shade Calculation Actually Measures</w:t>
      </w:r>
    </w:p>
    <w:p>
      <w:pPr>
        <w:pStyle w:val="ListBullet"/>
      </w:pPr>
      <w:r>
        <w:t>页面结论：计算对象是明确假设下的阴影与参考区交集。</w:t>
      </w:r>
    </w:p>
    <w:p>
      <w:pPr>
        <w:pStyle w:val="ListBullet"/>
      </w:pPr>
      <w:r>
        <w:t>主要展示：30°N；模型 X 向东/Y 向北；真太阳时；5×5 m 参考区扣中心 r=0.75 m，面积 23.23 m²；拟议连续叶面及改形前 r=0.55 m 中央孔。</w:t>
      </w:r>
    </w:p>
    <w:p>
      <w:pPr>
        <w:pStyle w:val="ListBullet"/>
      </w:pPr>
      <w:r>
        <w:t>推荐图示：真实裸架与拟议叶面并排，加参考区示意；计算公式只在需要时小范围展示。</w:t>
      </w:r>
    </w:p>
    <w:p>
      <w:pPr>
        <w:pStyle w:val="ListBullet"/>
      </w:pPr>
      <w:r>
        <w:t>来源：方法报告、杆架/叶面对照图、参数 JSON。</w:t>
      </w:r>
    </w:p>
    <w:p>
      <w:pPr>
        <w:pStyle w:val="ListBullet"/>
      </w:pPr>
      <w:r>
        <w:t>必须标明：Python 几何投影，无周边遮挡；不是 Ladybug、CFD 或热环境模拟；叶面投影 32.77 m² 不等于净使用面积。</w:t>
      </w:r>
    </w:p>
    <w:p>
      <w:pPr>
        <w:pStyle w:val="ListBullet"/>
      </w:pPr>
      <w:r>
        <w:t>建议口述：约 30 秒。</w:t>
      </w:r>
    </w:p>
    <w:p>
      <w:pPr>
        <w:pStyle w:val="Heading2"/>
      </w:pPr>
      <w:r>
        <w:t>第 13 页｜阴影位置与时段表现</w:t>
      </w:r>
    </w:p>
    <w:p>
      <w:pPr/>
      <w:r>
        <w:t>最终上屏内容上限（优先于下方资料清单）： 三时刻阴影图＋各自47.2/98.7/47.2%＋小标签mean75.3%；不额外放完整曲线或春秋分表。明确 ideal continuous-leaf overlap。</w:t>
      </w:r>
    </w:p>
    <w:p>
      <w:pPr/>
      <w:r>
        <w:t>页面引用要求： 阴影图和曲线下 P2，并列明太阳时、纬度、叶面条件。</w:t>
      </w:r>
    </w:p>
    <w:p>
      <w:pPr/>
      <w:r>
        <w:t>English title: Near-Full Noon Overlap Does Not Mean All-Day Shade</w:t>
      </w:r>
    </w:p>
    <w:p>
      <w:pPr>
        <w:pStyle w:val="ListBullet"/>
      </w:pPr>
      <w:r>
        <w:t>页面结论：阴影持续移动，应按使用时段评价，而不能只展示正午峰值。</w:t>
      </w:r>
    </w:p>
    <w:p>
      <w:pPr>
        <w:pStyle w:val="ListBullet"/>
      </w:pPr>
      <w:r>
        <w:t>主要展示：夏至 09:00/12:00/15:00 为 47.2%/98.7%/47.2%；09—15 时段均值 75.3%。</w:t>
      </w:r>
    </w:p>
    <w:p>
      <w:pPr>
        <w:pStyle w:val="ListBullet"/>
      </w:pPr>
      <w:r>
        <w:t>推荐图示：现有三时刻落影图为主；视空间加一条最终方案时段曲线（不显示版本图例）。春秋分结果放备注或备份。</w:t>
      </w:r>
    </w:p>
    <w:p>
      <w:pPr>
        <w:pStyle w:val="ListBullet"/>
      </w:pPr>
      <w:r>
        <w:t>来源：阴影落点图、典型时刻与 15 分钟 CSV。</w:t>
      </w:r>
    </w:p>
    <w:p>
      <w:pPr>
        <w:pStyle w:val="ListBullet"/>
      </w:pPr>
      <w:r>
        <w:t>标签：Ideal geometric overlap under the proposed continuous-leaf assumption。</w:t>
      </w:r>
    </w:p>
    <w:p>
      <w:pPr>
        <w:pStyle w:val="ListBullet"/>
      </w:pPr>
      <w:r>
        <w:t>建议口述：约 40 秒。</w:t>
      </w:r>
    </w:p>
    <w:p>
      <w:pPr>
        <w:pStyle w:val="Heading2"/>
      </w:pPr>
      <w:r>
        <w:t>第 14 页｜冠幅参数对有效遮阴的影响</w:t>
      </w:r>
    </w:p>
    <w:p>
      <w:pPr/>
      <w:r>
        <w:t>最终上屏内容上限（优先于下方资料清单）： 三组冠幅图及3个结果，配一句材料/植物投入提醒；不放7×5热图或长数据表。</w:t>
      </w:r>
    </w:p>
    <w:p>
      <w:pPr/>
      <w:r>
        <w:t>页面引用要求： 图下 P5；30°N、夏至、真太阳时09—15、50%叶簇覆盖、τ=0.15。注明等效直射阻断率，非温降。</w:t>
      </w:r>
    </w:p>
    <w:p>
      <w:pPr/>
      <w:r>
        <w:t>English title: How Crown Width Changes Useful Shade</w:t>
      </w:r>
    </w:p>
    <w:p>
      <w:pPr>
        <w:pStyle w:val="ListBullet"/>
      </w:pPr>
      <w:r>
        <w:t>页面只回答：固定覆盖率时，冠幅变化如何影响目标区有效遮挡？</w:t>
      </w:r>
    </w:p>
    <w:p>
      <w:pPr>
        <w:pStyle w:val="ListBullet"/>
      </w:pPr>
      <w:r>
        <w:t>屏幕：三个同尺度模型/阴影图，各一组标签：Smaller 52.3%、Baseline 60.2%、Larger 66.1%。统一指标为夏至09—15平均等效直射阻断率。</w:t>
      </w:r>
    </w:p>
    <w:p>
      <w:pPr>
        <w:pStyle w:val="ListBullet"/>
      </w:pPr>
      <w:r>
        <w:t>一句结论：A wider crown increases useful blockage in this scenario, but requires more material and planted area.</w:t>
      </w:r>
    </w:p>
    <w:p>
      <w:pPr>
        <w:pStyle w:val="ListBullet"/>
      </w:pPr>
      <w:r>
        <w:t>不同时显示完整7参数热图、长曲线、三套材料数据或公式。</w:t>
      </w:r>
    </w:p>
    <w:p>
      <w:pPr>
        <w:pStyle w:val="ListBullet"/>
      </w:pPr>
      <w:r>
        <w:t>上部扩展系数、杆长250.9/288.7/326.7m、其余高度/圆角实验与方法细节放备注；口述只提醒不是等材料或等植物投入。</w:t>
      </w:r>
    </w:p>
    <w:p>
      <w:pPr>
        <w:pStyle w:val="ListBullet"/>
      </w:pPr>
      <w:r>
        <w:t>参数实验不恢复历史版本对比；图内标签不用 D_BASE 等源 ID。</w:t>
      </w:r>
    </w:p>
    <w:p>
      <w:pPr>
        <w:pStyle w:val="ListBullet"/>
      </w:pPr>
      <w:r>
        <w:t>建议口述40秒。</w:t>
      </w:r>
    </w:p>
    <w:p>
      <w:pPr>
        <w:pStyle w:val="Heading2"/>
      </w:pPr>
      <w:r>
        <w:t>第 15 页｜植物覆盖对有效遮阴的影响</w:t>
      </w:r>
    </w:p>
    <w:p>
      <w:pPr/>
      <w:r>
        <w:t>最终上屏内容上限（优先于下方资料清单）： 三档覆盖图及对应3个结果，覆盖率和阻断率分开标；不再同时塞入曲线、分布敏感性和生长动画。</w:t>
      </w:r>
    </w:p>
    <w:p>
      <w:pPr/>
      <w:r>
        <w:t>页面引用要求： P5；与第14页同一指标，固定最终结构。写 Scenarios—not a calibrated growth forecast。</w:t>
      </w:r>
    </w:p>
    <w:p>
      <w:pPr/>
      <w:r>
        <w:t>English title: How Plant Cover Changes Useful Shade</w:t>
      </w:r>
    </w:p>
    <w:p>
      <w:pPr>
        <w:pStyle w:val="ListBullet"/>
      </w:pPr>
      <w:r>
        <w:t>页面只回答：同一结构在不同植物覆盖状态下如何变化？</w:t>
      </w:r>
    </w:p>
    <w:p>
      <w:pPr>
        <w:pStyle w:val="ListBullet"/>
      </w:pPr>
      <w:r>
        <w:t>屏幕：0%、50%、95%三幅同视角模型图，明确分开“Plan cover”和“Mean direct-beam blockage”两组标签；对应时段均值40.2%、60.2%、70.7%。</w:t>
      </w:r>
    </w:p>
    <w:p>
      <w:pPr>
        <w:pStyle w:val="ListBullet"/>
      </w:pPr>
      <w:r>
        <w:t>一句结论：More foliage increases blockage in these nested scenarios; the frame already provides shade at zero plant cover.</w:t>
      </w:r>
    </w:p>
    <w:p>
      <w:pPr>
        <w:pStyle w:val="ListBullet"/>
      </w:pPr>
      <w:r>
        <w:t>不给阶段指定月份或年份，不额外展示三个时刻×五档数据表；20%/80%结果、完整时段曲线及同覆盖分布对比放备注或配套资料。</w:t>
      </w:r>
    </w:p>
    <w:p>
      <w:pPr>
        <w:pStyle w:val="ListBullet"/>
      </w:pPr>
      <w:r>
        <w:t>不在此页讲冬季物候、植物湿重或精度检查；不重复第13页理想叶面数据。</w:t>
      </w:r>
    </w:p>
    <w:p>
      <w:pPr>
        <w:pStyle w:val="ListBullet"/>
      </w:pPr>
      <w:r>
        <w:t>建议口述35秒。</w:t>
      </w:r>
    </w:p>
    <w:p>
      <w:pPr>
        <w:pStyle w:val="Heading2"/>
      </w:pPr>
      <w:r>
        <w:t>第 16 页｜应用布置与验证计划</w:t>
      </w:r>
    </w:p>
    <w:p>
      <w:pPr/>
      <w:r>
        <w:t>最终上屏内容上限（优先于下方资料清单）： 一个休憩布局图＋三条短提示：Follow occupied-hour shade / Keep routes clear / Allow root and maintenance space。验证只留一句；不展开传感器或UTCI输入表。</w:t>
      </w:r>
    </w:p>
    <w:p>
      <w:pPr/>
      <w:r>
        <w:t>页面引用要求： 设计 P4；UTCI 方法/输入要求 [4]，不暗示已完成数值评价。</w:t>
      </w:r>
    </w:p>
    <w:p>
      <w:pPr/>
      <w:r>
        <w:t>English title: Put Seats Where Shade Is Useful—and Test the Outcome</w:t>
      </w:r>
    </w:p>
    <w:p>
      <w:pPr>
        <w:pStyle w:val="ListBullet"/>
      </w:pPr>
      <w:r>
        <w:t>页面结论：用真实使用时段安排停留点，再验证环境与舒适响应。</w:t>
      </w:r>
    </w:p>
    <w:p>
      <w:pPr>
        <w:pStyle w:val="ListBullet"/>
      </w:pPr>
      <w:r>
        <w:t>主要展示：校园/口袋公园优先；按完整阴影足迹布置座椅，保持通行、根区和维护通道。</w:t>
      </w:r>
    </w:p>
    <w:p>
      <w:pPr>
        <w:pStyle w:val="ListBullet"/>
      </w:pPr>
      <w:r>
        <w:t>推荐图示：下午休憩节点图＋三步验证条：confirm site → measure paired conditions → evaluate comfort。</w:t>
      </w:r>
    </w:p>
    <w:p>
      <w:pPr>
        <w:pStyle w:val="ListBullet"/>
      </w:pPr>
      <w:r>
        <w:t>提示数据：示例夏至 15:00 阴影重心约在支撑东侧 2.90 m、南侧 0.32 m；重心不保证每个座位有阴影。</w:t>
      </w:r>
    </w:p>
    <w:p>
      <w:pPr>
        <w:pStyle w:val="ListBullet"/>
      </w:pPr>
      <w:r>
        <w:t>测量接口：冠下与无遮挡同步对照的辐射、Ts、Ta、RH、风；具备有效输入后再计算 Tmrt/UTCI。</w:t>
      </w:r>
    </w:p>
    <w:p>
      <w:pPr>
        <w:pStyle w:val="ListBullet"/>
      </w:pPr>
      <w:r>
        <w:t>来源：应用报告、节点布置图、评价指标表。</w:t>
      </w:r>
    </w:p>
    <w:p>
      <w:pPr>
        <w:pStyle w:val="ListBullet"/>
      </w:pPr>
      <w:r>
        <w:t>注意：图为概念布置，非真实场地、无障碍或施工合规图；UTCI 使用的风速口径应符合其方法要求。</w:t>
      </w:r>
    </w:p>
    <w:p>
      <w:pPr>
        <w:pStyle w:val="ListBullet"/>
      </w:pPr>
      <w:r>
        <w:t>建议口述：约 35 秒。</w:t>
      </w:r>
    </w:p>
    <w:p>
      <w:pPr>
        <w:pStyle w:val="Heading2"/>
      </w:pPr>
      <w:r>
        <w:t>第 17 页｜模块化组装与施工便捷性（主讲必备）</w:t>
      </w:r>
    </w:p>
    <w:p>
      <w:pPr/>
      <w:r>
        <w:t>最终上屏内容上限（优先于下方资料清单）： 五阶段装配流程，每阶段一个图标与短标签；下方只留prefabricated &amp; numbered、14 person-days (estimate)、grouted joints need curing 三个重点。9.07t配重、长杆运输与十步细目讲稿补充。</w:t>
      </w:r>
    </w:p>
    <w:p>
      <w:pPr/>
      <w:r>
        <w:t>页面引用要求： 流程、工日下 P3/P4；标 proposed / estimate，不声称施工验证。</w:t>
      </w:r>
    </w:p>
    <w:p>
      <w:pPr/>
      <w:r>
        <w:t>English title: Prefabricate Components; Manage On-Site Complexity</w:t>
      </w:r>
    </w:p>
    <w:p>
      <w:pPr>
        <w:pStyle w:val="ListBullet"/>
      </w:pPr>
      <w:r>
        <w:t>页面结论：预制与编号有利于装配，但刚接和灌浆增加了现场复杂性，不能宣称完全干式、无损可逆。</w:t>
      </w:r>
    </w:p>
    <w:p>
      <w:pPr>
        <w:pStyle w:val="ListBullet"/>
      </w:pPr>
      <w:r>
        <w:t>主要展示：47 根冠杆＋12 根支撑工厂预制编号；运输与临时支撑；配重吊装；冠杆定位；12 处刚接节点；胶灌与养护；复检、种植和恢复。</w:t>
      </w:r>
    </w:p>
    <w:p>
      <w:pPr>
        <w:pStyle w:val="ListBullet"/>
      </w:pPr>
      <w:r>
        <w:t>推荐图示：将工作簿十步工序归纳为五阶段流程；用橙色强调刚接与养护两个工期控制点，底部展示构件可替换与灌浆连接的拆解限制。</w:t>
      </w:r>
    </w:p>
    <w:p>
      <w:pPr>
        <w:pStyle w:val="ListBullet"/>
      </w:pPr>
      <w:r>
        <w:t>关键估算：14 人工日/单元，不等于 14 天工期；配重约 9.07 t，控制吊装；最长运输构件须按逐杆清单确定，不采用平均杆长充当最大值。</w:t>
      </w:r>
    </w:p>
    <w:p>
      <w:pPr>
        <w:pStyle w:val="ListBullet"/>
      </w:pPr>
      <w:r>
        <w:t>来源：Cost-Analysis.xlsx 的“模块化建造分析”“造价明细”“挠度校核”。旧“规格与连接”表与新版节点叙述冲突，不能全部直接引用。</w:t>
      </w:r>
    </w:p>
    <w:p>
      <w:pPr>
        <w:pStyle w:val="ListBullet"/>
      </w:pPr>
      <w:r>
        <w:t>施工便捷性判断：工厂加工、预拼编号和现场装配是优势；长杆运输、重配重、临时稳定及灌浆养护是代价。结构/节点详图尚待验证。</w:t>
      </w:r>
    </w:p>
    <w:p>
      <w:pPr>
        <w:pStyle w:val="ListBullet"/>
      </w:pPr>
      <w:r>
        <w:t>建议口述：约 35—40 秒，通过压缩前面材料重复说明控制总时长。</w:t>
      </w:r>
    </w:p>
    <w:p>
      <w:pPr>
        <w:pStyle w:val="Heading2"/>
      </w:pPr>
      <w:r>
        <w:t>第 18 页｜结论与下一步</w:t>
      </w:r>
    </w:p>
    <w:p>
      <w:pPr/>
      <w:r>
        <w:t>最终上屏内容上限（优先于下方资料清单）： 三条短结论，不新增数据或另一套下一步清单；背景模型缩小装饰即可。</w:t>
      </w:r>
    </w:p>
    <w:p>
      <w:pPr/>
      <w:r>
        <w:t>页面引用要求： 一般不新增引用；重复具体数字则沿用其来源。</w:t>
      </w:r>
    </w:p>
    <w:p>
      <w:pPr/>
      <w:r>
        <w:t>English title: A Promising Concept with Explicit Conditions</w:t>
      </w:r>
    </w:p>
    <w:p>
      <w:pPr>
        <w:pStyle w:val="ListBullet"/>
      </w:pPr>
      <w:r>
        <w:t>页面结论：明确已交付成果、设计价值与下一步，而非宣称全面验证。</w:t>
      </w:r>
    </w:p>
    <w:p>
      <w:pPr>
        <w:pStyle w:val="ListBullet"/>
      </w:pPr>
      <w:r>
        <w:t>主要展示三条：</w:t>
      </w:r>
    </w:p>
    <w:p>
      <w:pPr/>
      <w:r>
        <w:t xml:space="preserve">  1. VineWeave integrates a tree-like support with climbing vegetation for local shade.</w:t>
      </w:r>
    </w:p>
    <w:p>
      <w:pPr/>
      <w:r>
        <w:t xml:space="preserve">  2. Material zoning assigns bamboo and steel to their respective structural roles.</w:t>
      </w:r>
    </w:p>
    <w:p>
      <w:pPr/>
      <w:r>
        <w:t xml:space="preserve">  3. Shade scenarios support the concept; structural and thermal performance still need validation.</w:t>
      </w:r>
    </w:p>
    <w:p>
      <w:pPr>
        <w:pStyle w:val="ListBullet"/>
      </w:pPr>
      <w:r>
        <w:t>底部下一步：确认场地与植物；验证节点/基础/抗风；补报价与碳源数据；开展同步热环境测量。</w:t>
      </w:r>
    </w:p>
    <w:p>
      <w:pPr>
        <w:pStyle w:val="ListBullet"/>
      </w:pPr>
      <w:r>
        <w:t>推荐图示：D 主视觉＋三个简洁结论，不增加新数据。</w:t>
      </w:r>
    </w:p>
    <w:p>
      <w:pPr>
        <w:pStyle w:val="ListBullet"/>
      </w:pPr>
      <w:r>
        <w:t>建议口述：约 20 秒。到此结束主讲并进入问答。</w:t>
      </w:r>
    </w:p>
    <w:p>
      <w:pPr>
        <w:pStyle w:val="Heading2"/>
      </w:pPr>
      <w:r>
        <w:t>第 19 页｜备份：来源、证据边界与答辩索引</w:t>
      </w:r>
    </w:p>
    <w:p>
      <w:pPr/>
      <w:r>
        <w:t>最终上屏内容上限（优先于下方资料清单）： 仅正文实际引用的完整文献与项目来源，建议6—8项外部条目以内；临时待核清单与Q&amp;A长文放备注/配套文档，不堆上屏。若最终超过可读容量，需压缩条目选择或调整页数，不能缩成密集小字。</w:t>
      </w:r>
    </w:p>
    <w:p>
      <w:pPr/>
      <w:r>
        <w:t>页面引用要求： 只列正文实际引用的完整来源；项目计算单列；未核项不得伪装成已确认文献。</w:t>
      </w:r>
    </w:p>
    <w:p>
      <w:pPr/>
      <w:r>
        <w:t>English title: Sources, Assumptions and Evidence Boundaries</w:t>
      </w:r>
    </w:p>
    <w:p>
      <w:pPr>
        <w:pStyle w:val="ListBullet"/>
      </w:pPr>
      <w:r>
        <w:t>用途：提供关键来源和问答入口，不展示完整长报告。</w:t>
      </w:r>
    </w:p>
    <w:p>
      <w:pPr>
        <w:pStyle w:val="ListBullet"/>
      </w:pPr>
      <w:r>
        <w:t>主要展示：D 分析报告/CSV/模型、材料造价交接稿；NOAA 太阳位置方法；UTCI 方法；Watanabe et al. 2014；Hoelscher et al. 2016。</w:t>
      </w:r>
    </w:p>
    <w:p>
      <w:pPr>
        <w:pStyle w:val="ListBullet"/>
      </w:pPr>
      <w:r>
        <w:t>简述：地点与叶面为假设；无实测温降；源表含新旧冲突需协调；节点刚度待验证；不采用早期圆冠数据。</w:t>
      </w:r>
    </w:p>
    <w:p>
      <w:pPr>
        <w:pStyle w:val="ListBullet"/>
      </w:pPr>
      <w:r>
        <w:t>推荐图示：两列式“Sources / Not Yet Verified”，论文信息与链接保持可读；逐页图脚已提前放对应短引用。</w:t>
      </w:r>
    </w:p>
    <w:p>
      <w:pPr>
        <w:pStyle w:val="ListBullet"/>
      </w:pPr>
      <w:r>
        <w:t>答辩入口放演讲者备注：冠层布局与用途、98.7% 的含义、节点成本与竹材选择、刚接是否已验证、能降多少度。</w:t>
      </w:r>
    </w:p>
    <w:p>
      <w:pPr>
        <w:pStyle w:val="Heading1"/>
      </w:pPr>
      <w:r>
        <w:t>四、材料映射与使用优先级</w:t>
      </w:r>
    </w:p>
    <w:tbl>
      <w:tblPr>
        <w:tblStyle w:val="TableGrid"/>
        <w:tblW w:type="auto" w:w="0"/>
        <w:tblLook w:firstColumn="1" w:firstRow="1" w:lastColumn="0" w:lastRow="0" w:noHBand="0" w:noVBand="1" w:val="04A0"/>
      </w:tblPr>
      <w:tblGrid>
        <w:gridCol w:w="2880"/>
        <w:gridCol w:w="2880"/>
        <w:gridCol w:w="2880"/>
      </w:tblGrid>
      <w:tr>
        <w:tc>
          <w:tcPr>
            <w:tcW w:type="dxa" w:w="2880"/>
          </w:tcPr>
          <w:p>
            <w:r>
              <w:t>信息模块</w:t>
            </w:r>
          </w:p>
        </w:tc>
        <w:tc>
          <w:tcPr>
            <w:tcW w:type="dxa" w:w="2880"/>
          </w:tcPr>
          <w:p>
            <w:r>
              <w:t>当前材料</w:t>
            </w:r>
          </w:p>
        </w:tc>
        <w:tc>
          <w:tcPr>
            <w:tcW w:type="dxa" w:w="2880"/>
          </w:tcPr>
          <w:p>
            <w:r>
              <w:t>使用方式</w:t>
            </w:r>
          </w:p>
        </w:tc>
      </w:tr>
      <w:tr>
        <w:tc>
          <w:tcPr>
            <w:tcW w:type="dxa" w:w="2880"/>
          </w:tcPr>
          <w:p>
            <w:r>
              <w:t>最终几何</w:t>
            </w:r>
          </w:p>
        </w:tc>
        <w:tc>
          <w:tcPr>
            <w:tcW w:type="dxa" w:w="2880"/>
          </w:tcPr>
          <w:p>
            <w:r>
              <w:t>D 实体轴测、平立面、真实形状对比、参数 JSON、3dm/GH 说明</w:t>
            </w:r>
          </w:p>
        </w:tc>
        <w:tc>
          <w:tcPr>
            <w:tcW w:type="dxa" w:w="2880"/>
          </w:tcPr>
          <w:p>
            <w:r>
              <w:t>第 1、3、4 页；模型未在本环境重算，不冒称独立认证</w:t>
            </w:r>
          </w:p>
        </w:tc>
      </w:tr>
      <w:tr>
        <w:tc>
          <w:tcPr>
            <w:tcW w:type="dxa" w:w="2880"/>
          </w:tcPr>
          <w:p>
            <w:r>
              <w:t>材料与成本</w:t>
            </w:r>
          </w:p>
        </w:tc>
        <w:tc>
          <w:tcPr>
            <w:tcW w:type="dxa" w:w="2880"/>
          </w:tcPr>
          <w:p>
            <w:r>
              <w:t>Cost-Analysis.xlsx（9 张表）及 PPT-Handoff-D-Materials-and-Cost.docx（6 张图）</w:t>
            </w:r>
          </w:p>
        </w:tc>
        <w:tc>
          <w:tcPr>
            <w:tcW w:type="dxa" w:w="2880"/>
          </w:tcPr>
          <w:p>
            <w:r>
              <w:t>第 5—10、16 页；源表优先核对数字，但不将旧版文字自动当作最终节点说明</w:t>
            </w:r>
          </w:p>
        </w:tc>
      </w:tr>
      <w:tr>
        <w:tc>
          <w:tcPr>
            <w:tcW w:type="dxa" w:w="2880"/>
          </w:tcPr>
          <w:p>
            <w:r>
              <w:t>方法与性能</w:t>
            </w:r>
          </w:p>
        </w:tc>
        <w:tc>
          <w:tcPr>
            <w:tcW w:type="dxa" w:w="2880"/>
          </w:tcPr>
          <w:p>
            <w:r>
              <w:t>中文 9 页、英文 4 页、一页英文说明</w:t>
            </w:r>
          </w:p>
        </w:tc>
        <w:tc>
          <w:tcPr>
            <w:tcW w:type="dxa" w:w="2880"/>
          </w:tcPr>
          <w:p>
            <w:r>
              <w:t>第 2、11—15 页的主文字依据</w:t>
            </w:r>
          </w:p>
        </w:tc>
      </w:tr>
      <w:tr>
        <w:tc>
          <w:tcPr>
            <w:tcW w:type="dxa" w:w="2880"/>
          </w:tcPr>
          <w:p>
            <w:r>
              <w:t>可复用图与数据</w:t>
            </w:r>
          </w:p>
        </w:tc>
        <w:tc>
          <w:tcPr>
            <w:tcW w:type="dxa" w:w="2880"/>
          </w:tcPr>
          <w:p>
            <w:r>
              <w:t>图表 PNG/PDF、6 组 CSV、分析参数与汇总 JSON</w:t>
            </w:r>
          </w:p>
        </w:tc>
        <w:tc>
          <w:tcPr>
            <w:tcW w:type="dxa" w:w="2880"/>
          </w:tcPr>
          <w:p>
            <w:r>
              <w:t>第 4、12—15 页；重绘保留数据来源和假设</w:t>
            </w:r>
          </w:p>
        </w:tc>
      </w:tr>
      <w:tr>
        <w:tc>
          <w:tcPr>
            <w:tcW w:type="dxa" w:w="2880"/>
          </w:tcPr>
          <w:p>
            <w:r>
              <w:t>现有英文模块</w:t>
            </w:r>
          </w:p>
        </w:tc>
        <w:tc>
          <w:tcPr>
            <w:tcW w:type="dxa" w:w="2880"/>
          </w:tcPr>
          <w:p>
            <w:r>
              <w:t>5 页 PPTX、导出 PDF、逐页讲稿与答辩</w:t>
            </w:r>
          </w:p>
        </w:tc>
        <w:tc>
          <w:tcPr>
            <w:tcW w:type="dxa" w:w="2880"/>
          </w:tcPr>
          <w:p>
            <w:r>
              <w:t>内容及口述参考，不直接认定为全组最终结构</w:t>
            </w:r>
          </w:p>
        </w:tc>
      </w:tr>
      <w:tr>
        <w:tc>
          <w:tcPr>
            <w:tcW w:type="dxa" w:w="2880"/>
          </w:tcPr>
          <w:p>
            <w:r>
              <w:t>参考 PPT 截图</w:t>
            </w:r>
          </w:p>
        </w:tc>
        <w:tc>
          <w:tcPr>
            <w:tcW w:type="dxa" w:w="2880"/>
          </w:tcPr>
          <w:p>
            <w:r>
              <w:t>参考ppt内容下的 14 张 PNG</w:t>
            </w:r>
          </w:p>
        </w:tc>
        <w:tc>
          <w:tcPr>
            <w:tcW w:type="dxa" w:w="2880"/>
          </w:tcPr>
          <w:p>
            <w:r>
              <w:t>参考表格和信息组织，不引用其材料/价格作为 D 版结果</w:t>
            </w:r>
          </w:p>
        </w:tc>
      </w:tr>
    </w:tbl>
    <w:p>
      <w:pPr/>
      <w:r>
        <w:t>信息冲突处理：记录来源与差异，不静默拼接。数学笔误可在工作稿标注正确结果；涉及模型、结构、造价源表和植物适生性的冲突保留“待核实”，不编造结论。</w:t>
      </w:r>
    </w:p>
    <w:p>
      <w:pPr>
        <w:pStyle w:val="Heading1"/>
      </w:pPr>
      <w:r>
        <w:t>五、已确认与仍待确认</w:t>
      </w:r>
    </w:p>
    <w:p>
      <w:pPr/>
      <w:r>
        <w:t>已确认，不再重复询问： 全组英文整合汇报；课程 green building；20 页以内；10—12 分钟含提问；第一页展示截图所列五人分工；不写展示日期及学校标识；覆盖材料、几何、冠层遮阴和通风、模块化与施工便捷性。用户已补充 Cost-Analysis.xlsx。</w:t>
      </w:r>
    </w:p>
    <w:p>
      <w:pPr/>
      <w:r>
        <w:t>已确认视觉风格：简约浅底、深色标题、少量角落藤蔓与淡叶影；装饰不遮挡模型、文字或图表。用户否定繁密植物边框。</w:t>
      </w:r>
    </w:p>
    <w:p>
      <w:pPr/>
      <w:r>
        <w:t>仍待确认：VineWeave Canopy 名称是否采用；真实场地与植物适生配置；是否有节点详图或通风验证新材料；是否需要独立英文讲稿及中文对照。用户当前仅授权样张，不展开完整 PPT。</w:t>
      </w:r>
    </w:p>
    <w:p>
      <w:pPr>
        <w:pStyle w:val="Heading1"/>
      </w:pPr>
      <w:r>
        <w:t>六、当前工作边界与后续维护</w:t>
      </w:r>
    </w:p>
    <w:p>
      <w:pPr>
        <w:pStyle w:val="ListBullet"/>
      </w:pPr>
      <w:r>
        <w:t>已完成材料阅读、策划文档和单页英文风格样张；尚未生成完整 PPT 或最终讲稿。样张是内容页示例，不是正式第一页；正式第一页仍为成员分工。</w:t>
      </w:r>
    </w:p>
    <w:p>
      <w:pPr>
        <w:pStyle w:val="ListBullet"/>
      </w:pPr>
      <w:r>
        <w:t>用户反馈后，直接更新此文件的版本与逐页安排，再启动设计制作。</w:t>
      </w:r>
    </w:p>
    <w:p>
      <w:pPr>
        <w:pStyle w:val="ListBullet"/>
      </w:pPr>
      <w:r>
        <w:t>以本 Markdown 为可持续修改的主文档，配套 Word 为便于阅读的导出副本；更新时同步导出，避免版本分叉。</w:t>
      </w:r>
    </w:p>
    <w:p>
      <w:pPr>
        <w:pStyle w:val="ListBullet"/>
      </w:pPr>
      <w:r>
        <w:t>参考材料中的旧页数、截止日期和审批文字不自动成为本次任务要求。Presentations 插件当前未提供可调用工具，不把插件调用作为已完成事项。</w:t>
      </w:r>
    </w:p>
    <w:p>
      <w:pPr>
        <w:pStyle w:val="Heading1"/>
      </w:pPr>
      <w:r>
        <w:t>七、版本记录</w:t>
      </w:r>
    </w:p>
    <w:p>
      <w:pPr>
        <w:pStyle w:val="ListBullet"/>
      </w:pPr>
      <w:r>
        <w:t>v0.1：依据压缩包整理整体要求与 18 页初版大纲。</w:t>
      </w:r>
    </w:p>
    <w:p>
      <w:pPr>
        <w:pStyle w:val="ListBullet"/>
      </w:pPr>
      <w:r>
        <w:t>v0.2：依据用户提供的分工图片，将第一页改为五位成员分工页；记录完整中文原文及英文译稿；更新成员确认状态。其余逐页大纲保持初版建议。</w:t>
      </w:r>
    </w:p>
    <w:p>
      <w:pPr>
        <w:pStyle w:val="Heading1"/>
      </w:pPr>
      <w:r>
        <w:t>八、Cost Analysis 补充阅读记录与数据核对</w:t>
      </w:r>
    </w:p>
    <w:p>
      <w:pPr/>
      <w:r>
        <w:t>源文件：用户上传的 Cost-Analysis.xlsx。9 张工作表：几何与用量、材料比选、挠度校核、选型决策矩阵、规格与连接、模块化建造分析、造价明细、全廊道概算、爬藤植物选择。以下核对基于工作簿公式和缓存值的读取与部分独立算术核对，不等于全工作簿重算或工程认证。</w:t>
      </w:r>
    </w:p>
    <w:p>
      <w:pPr>
        <w:pStyle w:val="ListBullet"/>
      </w:pPr>
      <w:r>
        <w:t>单元总价缓存值 51,675.7187 CNY；七类成本合计相符。材料费约 30,549 CNY，占 59.1%；14 人工日已在造价表计取。</w:t>
      </w:r>
    </w:p>
    <w:p>
      <w:pPr>
        <w:pStyle w:val="ListBullet"/>
      </w:pPr>
      <w:r>
        <w:t>6.6 m 间距下单元摊销约 7,829.65 CNY/m；100 m 示例需向上取整为 16 单元，项目约 826,811 CNY，因此该示例项目为 8,268.11 CNY/m。两种每米指标不能混用；100 m 不是已确认真实场地。</w:t>
      </w:r>
    </w:p>
    <w:p>
      <w:pPr>
        <w:pStyle w:val="ListBullet"/>
      </w:pPr>
      <w:r>
        <w:t>构件碳排约 4,653 vs 1,581 kgCO₂e，降低 66%；含配重及其他构件约 5,891 vs 2,820，降低 52%。工作簿“相对推荐方案”列用混合方案为分母，不可直接作为以全钢为基准的减排率。</w:t>
      </w:r>
    </w:p>
    <w:p>
      <w:pPr>
        <w:pStyle w:val="ListBullet"/>
      </w:pPr>
      <w:r>
        <w:t>59 根构件与 288.66 m 长度一致；12 钢支撑、47 竹冠杆；工作簿几何页“支撑 5.58—6.11 m”是杆长，不是竖直高度，总高约 3.479 m。</w:t>
      </w:r>
    </w:p>
    <w:p>
      <w:pPr>
        <w:pStyle w:val="ListBullet"/>
      </w:pPr>
      <w:r>
        <w:t>工作簿几何页 20.34 m² 为逐段累计管径×投影长度，不是扣除重叠后的净阴影，也不是报告拟议叶面 32.77 m² 或参考区 23.23 m²。</w:t>
      </w:r>
    </w:p>
    <w:p>
      <w:pPr>
        <w:pStyle w:val="ListBullet"/>
      </w:pPr>
      <w:r>
        <w:t>挠度表是简化均布荷载梁模型：竹最大跨 6.65 m，简支约 100.5 mm，理想固接约 20.1 mm；实际节点须达到所需转动约束，不能用理想固接值证明现有节点已成立。</w:t>
      </w:r>
    </w:p>
    <w:p>
      <w:pPr>
        <w:pStyle w:val="ListBullet"/>
      </w:pPr>
      <w:r>
        <w:t>旧“规格与连接”仍写销接、现场免焊、可逆；新版“挠度校核”“模块化建造分析”已改刚接和胶灌。新版模块化表内部仍有旧的“全螺栓、湿作业仅坐浆”等描述。PPT 采用有条件的刚接方案，冲突留作协调事项。</w:t>
      </w:r>
    </w:p>
    <w:p>
      <w:pPr>
        <w:pStyle w:val="ListBullet"/>
      </w:pPr>
      <w:r>
        <w:t>模块表 P1 冠杆加工方式误留“钢管成型＋镀锌”，与竹冠选材不一致；“最大长度 5.78 m”实际取平均支撑杆长，而其他页给出更长构件。不可直接用作运输最大尺寸。</w:t>
      </w:r>
    </w:p>
    <w:p>
      <w:pPr>
        <w:pStyle w:val="ListBullet"/>
      </w:pPr>
      <w:r>
        <w:t>配重文字 2.4×2.4×0.66 m 计算约 3.8016 m³，与预算采用 3.78 m³ 略有差异；旧表又有 0.60 m 高版本。正式展示可先用“approx. 3.8 m³”，详图、预算与基础设计需统一。</w:t>
      </w:r>
    </w:p>
    <w:p>
      <w:pPr>
        <w:pStyle w:val="ListBullet"/>
      </w:pPr>
      <w:r>
        <w:t>“材料比选”钢碳因子来源标为 ICE 量级，而交接稿提到 GB/T 51366；现阶段引用为工作簿参考因子，不能声称所有因子已追溯认证。节点钢材等是否充分计入碳排也须核查。</w:t>
      </w:r>
    </w:p>
    <w:p>
      <w:pPr>
        <w:pStyle w:val="ListBullet"/>
      </w:pPr>
      <w:r>
        <w:t>植物表有 8 种候选，而交接稿说 6 种；后续按最新工作簿记录，主页面仅列拟选方案，并保留地域适生性和维护验证要求。</w:t>
      </w:r>
    </w:p>
    <w:p>
      <w:pPr/>
      <w:r>
        <w:t>v0.3 更新记录：写入用户明确要求；模块化施工提升为主讲页；加强冠层布局对通风影响的定性分析及缺口说明；补齐工作簿阅读记录；生成独立一页英文 demo 供风格评审。</w:t>
      </w:r>
    </w:p>
    <w:p>
      <w:pPr>
        <w:pStyle w:val="Heading1"/>
      </w:pPr>
      <w:r>
        <w:t>九、v0.4 更新记录</w:t>
      </w:r>
    </w:p>
    <w:p>
      <w:pPr>
        <w:pStyle w:val="ListBullet"/>
      </w:pPr>
      <w:r>
        <w:t>用户确认简约版上仅加少量藤蔓装饰。</w:t>
      </w:r>
    </w:p>
    <w:p>
      <w:pPr>
        <w:pStyle w:val="ListBullet"/>
      </w:pPr>
      <w:r>
        <w:t>用户要求直接展示最终方案，不强调 D 版，也不与其他整套方案比较。源文件版本称谓只用于内部核对，不进入英文 PPT 或讲稿。</w:t>
      </w:r>
    </w:p>
    <w:p>
      <w:pPr>
        <w:pStyle w:val="ListBullet"/>
      </w:pPr>
      <w:r>
        <w:t>暂定名称 VineWeave Canopy（藤织荫冠），待用户确认。</w:t>
      </w:r>
    </w:p>
    <w:p>
      <w:pPr>
        <w:pStyle w:val="ListBullet"/>
      </w:pPr>
      <w:r>
        <w:t>第 4 页改为冠层布局与空间组织；第 8 页仅展示本方案成本；第 9 页改为本方案碳排组成和维护，不展示整套替代方案对比。</w:t>
      </w:r>
    </w:p>
    <w:p>
      <w:pPr>
        <w:pStyle w:val="ListBullet"/>
      </w:pPr>
      <w:r>
        <w:t>保留课程所需的材料候选比较，以及最终方案在不同时段、植物覆盖情景下的性能分析；这些不属于设计版本对比。</w:t>
      </w:r>
    </w:p>
    <w:p>
      <w:pPr>
        <w:pStyle w:val="ListBullet"/>
      </w:pPr>
      <w:r>
        <w:t>本文件早前源资料核对记录保留原始版本字母和对照数据，仅供内部追溯，不作为正式展示内容。</w:t>
      </w:r>
    </w:p>
    <w:p>
      <w:pPr>
        <w:pStyle w:val="Heading1"/>
      </w:pPr>
      <w:r>
        <w:t>十、补充参考资料与引用规则（v0.5）</w:t>
      </w:r>
    </w:p>
    <w:p>
      <w:pPr/>
      <w:r>
        <w:t>本节依据用户新提供的参考资料登记。尚未独立查阅标准原文、数据库条目或论文；用户划为“可直接引用”的内容在本记录中仍明确为“用户提供出处，原文待核”。不据此宣称已经完成文献验证，也不把附件或粘贴材料中的检索建议自动视为本轮已完成研究。</w:t>
      </w:r>
    </w:p>
    <w:p>
      <w:pPr>
        <w:pStyle w:val="Heading2"/>
      </w:pPr>
      <w:r>
        <w:t>1. 来源清单与当前状态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数据项与采用值</w:t>
            </w:r>
          </w:p>
        </w:tc>
        <w:tc>
          <w:tcPr>
            <w:tcW w:type="dxa" w:w="2160"/>
          </w:tcPr>
          <w:p>
            <w:r>
              <w:t>用户提供的来源线索</w:t>
            </w:r>
          </w:p>
        </w:tc>
        <w:tc>
          <w:tcPr>
            <w:tcW w:type="dxa" w:w="2160"/>
          </w:tcPr>
          <w:p>
            <w:r>
              <w:t>当前状态及使用限制</w:t>
            </w:r>
          </w:p>
        </w:tc>
      </w:tr>
      <w:tr>
        <w:tc>
          <w:tcPr>
            <w:tcW w:type="dxa" w:w="2160"/>
          </w:tcPr>
          <w:p>
            <w:r>
              <w:t>标准</w:t>
            </w:r>
          </w:p>
        </w:tc>
        <w:tc>
          <w:tcPr>
            <w:tcW w:type="dxa" w:w="2160"/>
          </w:tcPr>
          <w:p>
            <w:r>
              <w:t>钢材碳因子 2.15 kgCO₂e/kg；C30 混凝土 288 kgCO₂e/m³</w:t>
            </w:r>
          </w:p>
        </w:tc>
        <w:tc>
          <w:tcPr>
            <w:tcW w:type="dxa" w:w="2160"/>
          </w:tcPr>
          <w:p>
            <w:r>
              <w:t>GB/T 51366-2019 表 A.0.1</w:t>
            </w:r>
          </w:p>
        </w:tc>
        <w:tc>
          <w:tcPr>
            <w:tcW w:type="dxa" w:w="2160"/>
          </w:tcPr>
          <w:p>
            <w:r>
              <w:t>原文待核：材料类别、生产工艺、密度换算和边界须逐项对应，不直接假定钢因子包含镀锌处理</w:t>
            </w:r>
          </w:p>
        </w:tc>
      </w:tr>
      <w:tr>
        <w:tc>
          <w:tcPr>
            <w:tcW w:type="dxa" w:w="2160"/>
          </w:tcPr>
          <w:p>
            <w:r>
              <w:t>数据库</w:t>
            </w:r>
          </w:p>
        </w:tc>
        <w:tc>
          <w:tcPr>
            <w:tcW w:type="dxa" w:w="2160"/>
          </w:tcPr>
          <w:p>
            <w:r>
              <w:t>304 不锈钢 6.15 kgCO₂e/kg</w:t>
            </w:r>
          </w:p>
        </w:tc>
        <w:tc>
          <w:tcPr>
            <w:tcW w:type="dxa" w:w="2160"/>
          </w:tcPr>
          <w:p>
            <w:r>
              <w:t>ICE Database / Circular Ecology，http://circularecology.com/ice-database-faqs-2.html</w:t>
            </w:r>
          </w:p>
        </w:tc>
        <w:tc>
          <w:tcPr>
            <w:tcW w:type="dxa" w:w="2160"/>
          </w:tcPr>
          <w:p>
            <w:r>
              <w:t>具体版本、条目、边界待核；FAQ 链接不等于已获得因子原始记录</w:t>
            </w:r>
          </w:p>
        </w:tc>
      </w:tr>
      <w:tr>
        <w:tc>
          <w:tcPr>
            <w:tcW w:type="dxa" w:w="2160"/>
          </w:tcPr>
          <w:p>
            <w:r>
              <w:t>数据库＋增量</w:t>
            </w:r>
          </w:p>
        </w:tc>
        <w:tc>
          <w:tcPr>
            <w:tcW w:type="dxa" w:w="2160"/>
          </w:tcPr>
          <w:p>
            <w:r>
              <w:t>防腐木 1.10 kgCO₂e/kg</w:t>
            </w:r>
          </w:p>
        </w:tc>
        <w:tc>
          <w:tcPr>
            <w:tcW w:type="dxa" w:w="2160"/>
          </w:tcPr>
          <w:p>
            <w:r>
              <w:t>ICE Timber＋防腐处理增量</w:t>
            </w:r>
          </w:p>
        </w:tc>
        <w:tc>
          <w:tcPr>
            <w:tcW w:type="dxa" w:w="2160"/>
          </w:tcPr>
          <w:p>
            <w:r>
              <w:t>木材基值及处理增量均需可追溯出处，不能作为已验证组合因子</w:t>
            </w:r>
          </w:p>
        </w:tc>
      </w:tr>
      <w:tr>
        <w:tc>
          <w:tcPr>
            <w:tcW w:type="dxa" w:w="2160"/>
          </w:tcPr>
          <w:p>
            <w:r>
              <w:t>待补</w:t>
            </w:r>
          </w:p>
        </w:tc>
        <w:tc>
          <w:tcPr>
            <w:tcW w:type="dxa" w:w="2160"/>
          </w:tcPr>
          <w:p>
            <w:r>
              <w:t>重组竹/原竹碳因子 0.40/0.25 kgCO₂e/kg</w:t>
            </w:r>
          </w:p>
        </w:tc>
        <w:tc>
          <w:tcPr>
            <w:tcW w:type="dxa" w:w="2160"/>
          </w:tcPr>
          <w:p>
            <w:r>
              <w:t>暂无具体文献</w:t>
            </w:r>
          </w:p>
        </w:tc>
        <w:tc>
          <w:tcPr>
            <w:tcW w:type="dxa" w:w="2160"/>
          </w:tcPr>
          <w:p>
            <w:r>
              <w:t>作为计算假设，不标成有论文支持的确定值</w:t>
            </w:r>
          </w:p>
        </w:tc>
      </w:tr>
      <w:tr>
        <w:tc>
          <w:tcPr>
            <w:tcW w:type="dxa" w:w="2160"/>
          </w:tcPr>
          <w:p>
            <w:r>
              <w:t>标准线索</w:t>
            </w:r>
          </w:p>
        </w:tc>
        <w:tc>
          <w:tcPr>
            <w:tcW w:type="dxa" w:w="2160"/>
          </w:tcPr>
          <w:p>
            <w:r>
              <w:t>钢 50、不锈钢 16、混凝土 1.7、防腐木 0.14 W/(m·K)</w:t>
            </w:r>
          </w:p>
        </w:tc>
        <w:tc>
          <w:tcPr>
            <w:tcW w:type="dxa" w:w="2160"/>
          </w:tcPr>
          <w:p>
            <w:r>
              <w:t>GB 50176-2016 附录 B.1；不锈钢另提 ISO 10456</w:t>
            </w:r>
          </w:p>
        </w:tc>
        <w:tc>
          <w:tcPr>
            <w:tcW w:type="dxa" w:w="2160"/>
          </w:tcPr>
          <w:p>
            <w:r>
              <w:t>具体条目、密度、含水率和适用材料待核</w:t>
            </w:r>
          </w:p>
        </w:tc>
      </w:tr>
      <w:tr>
        <w:tc>
          <w:tcPr>
            <w:tcW w:type="dxa" w:w="2160"/>
          </w:tcPr>
          <w:p>
            <w:r>
              <w:t>待补</w:t>
            </w:r>
          </w:p>
        </w:tc>
        <w:tc>
          <w:tcPr>
            <w:tcW w:type="dxa" w:w="2160"/>
          </w:tcPr>
          <w:p>
            <w:r>
              <w:t>重组竹 λ=0.22（顺纹），横纹约 0.10；原竹 0.18 W/(m·K)</w:t>
            </w:r>
          </w:p>
        </w:tc>
        <w:tc>
          <w:tcPr>
            <w:tcW w:type="dxa" w:w="2160"/>
          </w:tcPr>
          <w:p>
            <w:r>
              <w:t>暂无具体文献</w:t>
            </w:r>
          </w:p>
        </w:tc>
        <w:tc>
          <w:tcPr>
            <w:tcW w:type="dxa" w:w="2160"/>
          </w:tcPr>
          <w:p>
            <w:r>
              <w:t>必须确认产品、纹理方向、密度、含水率及测试条件；暂不作无条件材料常数</w:t>
            </w:r>
          </w:p>
        </w:tc>
      </w:tr>
      <w:tr>
        <w:tc>
          <w:tcPr>
            <w:tcW w:type="dxa" w:w="2160"/>
          </w:tcPr>
          <w:p>
            <w:r>
              <w:t>标准线索</w:t>
            </w:r>
          </w:p>
        </w:tc>
        <w:tc>
          <w:tcPr>
            <w:tcW w:type="dxa" w:w="2160"/>
          </w:tcPr>
          <w:p>
            <w:r>
              <w:t>Q355B 屈服强度 355 MPa</w:t>
            </w:r>
          </w:p>
        </w:tc>
        <w:tc>
          <w:tcPr>
            <w:tcW w:type="dxa" w:w="2160"/>
          </w:tcPr>
          <w:p>
            <w:r>
              <w:t>GB/T 1591-2018</w:t>
            </w:r>
          </w:p>
        </w:tc>
        <w:tc>
          <w:tcPr>
            <w:tcW w:type="dxa" w:w="2160"/>
          </w:tcPr>
          <w:p>
            <w:r>
              <w:t>需核对产品厚度范围与取值条件，不能将名义屈服值直接当设计强度</w:t>
            </w:r>
          </w:p>
        </w:tc>
      </w:tr>
      <w:tr>
        <w:tc>
          <w:tcPr>
            <w:tcW w:type="dxa" w:w="2160"/>
          </w:tcPr>
          <w:p>
            <w:r>
              <w:t>标准线索</w:t>
            </w:r>
          </w:p>
        </w:tc>
        <w:tc>
          <w:tcPr>
            <w:tcW w:type="dxa" w:w="2160"/>
          </w:tcPr>
          <w:p>
            <w:r>
              <w:t>钢密度 7850 kg/m³、弹性模量 210 GPa</w:t>
            </w:r>
          </w:p>
        </w:tc>
        <w:tc>
          <w:tcPr>
            <w:tcW w:type="dxa" w:w="2160"/>
          </w:tcPr>
          <w:p>
            <w:r>
              <w:t>GB 50017-2017</w:t>
            </w:r>
          </w:p>
        </w:tc>
        <w:tc>
          <w:tcPr>
            <w:tcW w:type="dxa" w:w="2160"/>
          </w:tcPr>
          <w:p>
            <w:r>
              <w:t>原文待核；当前源表取 210 GPa，标准取值如不同应协调后更新分析，不静默修改结果</w:t>
            </w:r>
          </w:p>
        </w:tc>
      </w:tr>
      <w:tr>
        <w:tc>
          <w:tcPr>
            <w:tcW w:type="dxa" w:w="2160"/>
          </w:tcPr>
          <w:p>
            <w:r>
              <w:t>待补</w:t>
            </w:r>
          </w:p>
        </w:tc>
        <w:tc>
          <w:tcPr>
            <w:tcW w:type="dxa" w:w="2160"/>
          </w:tcPr>
          <w:p>
            <w:r>
              <w:t>重组竹设计抗弯 20 MPa、E=10 GPa、密度 1050 kg/m³</w:t>
            </w:r>
          </w:p>
        </w:tc>
        <w:tc>
          <w:tcPr>
            <w:tcW w:type="dxa" w:w="2160"/>
          </w:tcPr>
          <w:p>
            <w:r>
              <w:t>暂无具体文献</w:t>
            </w:r>
          </w:p>
        </w:tc>
        <w:tc>
          <w:tcPr>
            <w:tcW w:type="dxa" w:w="2160"/>
          </w:tcPr>
          <w:p>
            <w:r>
              <w:t>暂用模型输入；区分平均试验强度、特征强度与设计值，需相应安全系数与适用条件</w:t>
            </w:r>
          </w:p>
        </w:tc>
      </w:tr>
      <w:tr>
        <w:tc>
          <w:tcPr>
            <w:tcW w:type="dxa" w:w="2160"/>
          </w:tcPr>
          <w:p>
            <w:r>
              <w:t>标准线索</w:t>
            </w:r>
          </w:p>
        </w:tc>
        <w:tc>
          <w:tcPr>
            <w:tcW w:type="dxa" w:w="2160"/>
          </w:tcPr>
          <w:p>
            <w:r>
              <w:t>上海 50 年一遇基本风压 0.55 kN/m²</w:t>
            </w:r>
          </w:p>
        </w:tc>
        <w:tc>
          <w:tcPr>
            <w:tcW w:type="dxa" w:w="2160"/>
          </w:tcPr>
          <w:p>
            <w:r>
              <w:t>GB 50009-2012 附录 E</w:t>
            </w:r>
          </w:p>
        </w:tc>
        <w:tc>
          <w:tcPr>
            <w:tcW w:type="dxa" w:w="2160"/>
          </w:tcPr>
          <w:p>
            <w:r>
              <w:t>原文、地点和重现期待核；基本风压不等于实际设计风荷载，尚需体型、高度、阵风及植物阻力等</w:t>
            </w:r>
          </w:p>
        </w:tc>
      </w:tr>
      <w:tr>
        <w:tc>
          <w:tcPr>
            <w:tcW w:type="dxa" w:w="2160"/>
          </w:tcPr>
          <w:p>
            <w:r>
              <w:t>标准线索</w:t>
            </w:r>
          </w:p>
        </w:tc>
        <w:tc>
          <w:tcPr>
            <w:tcW w:type="dxa" w:w="2160"/>
          </w:tcPr>
          <w:p>
            <w:r>
              <w:t>挠度限值 L/200</w:t>
            </w:r>
          </w:p>
        </w:tc>
        <w:tc>
          <w:tcPr>
            <w:tcW w:type="dxa" w:w="2160"/>
          </w:tcPr>
          <w:p>
            <w:r>
              <w:t>GB 50017-2017 表 B.1.1</w:t>
            </w:r>
          </w:p>
        </w:tc>
        <w:tc>
          <w:tcPr>
            <w:tcW w:type="dxa" w:w="2160"/>
          </w:tcPr>
          <w:p>
            <w:r>
              <w:t>条目及构件类别待核；钢结构标准限值用于竹构件的适用性需说明，暂称项目采用的服务性控制值</w:t>
            </w:r>
          </w:p>
        </w:tc>
      </w:tr>
      <w:tr>
        <w:tc>
          <w:tcPr>
            <w:tcW w:type="dxa" w:w="2160"/>
          </w:tcPr>
          <w:p>
            <w:r>
              <w:t>标准线索</w:t>
            </w:r>
          </w:p>
        </w:tc>
        <w:tc>
          <w:tcPr>
            <w:tcW w:type="dxa" w:w="2160"/>
          </w:tcPr>
          <w:p>
            <w:r>
              <w:t>构筑物、混凝土强度</w:t>
            </w:r>
          </w:p>
        </w:tc>
        <w:tc>
          <w:tcPr>
            <w:tcW w:type="dxa" w:w="2160"/>
          </w:tcPr>
          <w:p>
            <w:r>
              <w:t>GB 50135-2019；GB/T 50081、GB 50010</w:t>
            </w:r>
          </w:p>
        </w:tc>
        <w:tc>
          <w:tcPr>
            <w:tcW w:type="dxa" w:w="2160"/>
          </w:tcPr>
          <w:p>
            <w:r>
              <w:t>年版、适用范围、具体条款待核；只列实际使用的条款，不堆砌规范名</w:t>
            </w:r>
          </w:p>
        </w:tc>
      </w:tr>
      <w:tr>
        <w:tc>
          <w:tcPr>
            <w:tcW w:type="dxa" w:w="2160"/>
          </w:tcPr>
          <w:p>
            <w:r>
              <w:t>待补</w:t>
            </w:r>
          </w:p>
        </w:tc>
        <w:tc>
          <w:tcPr>
            <w:tcW w:type="dxa" w:w="2160"/>
          </w:tcPr>
          <w:p>
            <w:r>
              <w:t>藤蔓湿重 10—18 kg/m²；LAI 3—5</w:t>
            </w:r>
          </w:p>
        </w:tc>
        <w:tc>
          <w:tcPr>
            <w:tcW w:type="dxa" w:w="2160"/>
          </w:tcPr>
          <w:p>
            <w:r>
              <w:t>垂直绿化地方规程、园林定额或实测（检索方向）</w:t>
            </w:r>
          </w:p>
        </w:tc>
        <w:tc>
          <w:tcPr>
            <w:tcW w:type="dxa" w:w="2160"/>
          </w:tcPr>
          <w:p>
            <w:r>
              <w:t>尚无具体来源；物种、生长阶段、湿/干基与荷载条件待明确</w:t>
            </w:r>
          </w:p>
        </w:tc>
      </w:tr>
      <w:tr>
        <w:tc>
          <w:tcPr>
            <w:tcW w:type="dxa" w:w="2160"/>
          </w:tcPr>
          <w:p>
            <w:r>
              <w:t>项目数据</w:t>
            </w:r>
          </w:p>
        </w:tc>
        <w:tc>
          <w:tcPr>
            <w:tcW w:type="dxa" w:w="2160"/>
          </w:tcPr>
          <w:p>
            <w:r>
              <w:t>59 根、Φ80、中心线总长 288.66 m、尺寸约 6.216×6.663×3.479 m、47 冠杆/12 支撑</w:t>
            </w:r>
          </w:p>
        </w:tc>
        <w:tc>
          <w:tcPr>
            <w:tcW w:type="dxa" w:w="2160"/>
          </w:tcPr>
          <w:p>
            <w:r>
              <w:t>用户提供最终模型及取量说明</w:t>
            </w:r>
          </w:p>
        </w:tc>
        <w:tc>
          <w:tcPr>
            <w:tcW w:type="dxa" w:w="2160"/>
          </w:tcPr>
          <w:p>
            <w:r>
              <w:t>引为项目模型提取数据，而非本轮独立实测；公开页面不用版本字母</w:t>
            </w:r>
          </w:p>
        </w:tc>
      </w:tr>
      <w:tr>
        <w:tc>
          <w:tcPr>
            <w:tcW w:type="dxa" w:w="2160"/>
          </w:tcPr>
          <w:p>
            <w:r>
              <w:t>项目数据</w:t>
            </w:r>
          </w:p>
        </w:tc>
        <w:tc>
          <w:tcPr>
            <w:tcW w:type="dxa" w:w="2160"/>
          </w:tcPr>
          <w:p>
            <w:r>
              <w:t>风投影 15.72/16.37 m²</w:t>
            </w:r>
          </w:p>
        </w:tc>
        <w:tc>
          <w:tcPr>
            <w:tcW w:type="dxa" w:w="2160"/>
          </w:tcPr>
          <w:p>
            <w:r>
              <w:t>逐段累计管径×投影长度</w:t>
            </w:r>
          </w:p>
        </w:tc>
        <w:tc>
          <w:tcPr>
            <w:tcW w:type="dxa" w:w="2160"/>
          </w:tcPr>
          <w:p>
            <w:r>
              <w:t>属累计构件投影口径，不自动等于扣重叠后的迎风包络面积，不可直接替代完整风荷载计算</w:t>
            </w:r>
          </w:p>
        </w:tc>
      </w:tr>
      <w:tr>
        <w:tc>
          <w:tcPr>
            <w:tcW w:type="dxa" w:w="2160"/>
          </w:tcPr>
          <w:p>
            <w:r>
              <w:t>项目计算</w:t>
            </w:r>
          </w:p>
        </w:tc>
        <w:tc>
          <w:tcPr>
            <w:tcW w:type="dxa" w:w="2160"/>
          </w:tcPr>
          <w:p>
            <w:r>
              <w:t>遮阴率、太阳高度角、挠度</w:t>
            </w:r>
          </w:p>
        </w:tc>
        <w:tc>
          <w:tcPr>
            <w:tcW w:type="dxa" w:w="2160"/>
          </w:tcPr>
          <w:p>
            <w:r>
              <w:t>性能交付包参数 JSON、CSV 和 Cost-Analysis.xlsx 挠度页</w:t>
            </w:r>
          </w:p>
        </w:tc>
        <w:tc>
          <w:tcPr>
            <w:tcW w:type="dxa" w:w="2160"/>
          </w:tcPr>
          <w:p>
            <w:r>
              <w:t>保留几何/光学及边界假设；不声称获得实测热环境或结构认证</w:t>
            </w:r>
          </w:p>
        </w:tc>
      </w:tr>
    </w:tbl>
    <w:p>
      <w:pPr>
        <w:pStyle w:val="Heading2"/>
      </w:pPr>
      <w:r>
        <w:t>2. 价格全部作为估算或待询价</w:t>
      </w:r>
    </w:p>
    <w:tbl>
      <w:tblPr>
        <w:tblStyle w:val="TableGrid"/>
        <w:tblW w:type="auto" w:w="0"/>
        <w:tblLook w:firstColumn="1" w:firstRow="1" w:lastColumn="0" w:lastRow="0" w:noHBand="0" w:noVBand="1" w:val="04A0"/>
      </w:tblPr>
      <w:tblGrid>
        <w:gridCol w:w="2880"/>
        <w:gridCol w:w="2880"/>
        <w:gridCol w:w="2880"/>
      </w:tblGrid>
      <w:tr>
        <w:tc>
          <w:tcPr>
            <w:tcW w:type="dxa" w:w="2880"/>
          </w:tcPr>
          <w:p>
            <w:r>
              <w:t>费用项</w:t>
            </w:r>
          </w:p>
        </w:tc>
        <w:tc>
          <w:tcPr>
            <w:tcW w:type="dxa" w:w="2880"/>
          </w:tcPr>
          <w:p>
            <w:r>
              <w:t>当前假定单价</w:t>
            </w:r>
          </w:p>
        </w:tc>
        <w:tc>
          <w:tcPr>
            <w:tcW w:type="dxa" w:w="2880"/>
          </w:tcPr>
          <w:p>
            <w:r>
              <w:t>状态</w:t>
            </w:r>
          </w:p>
        </w:tc>
      </w:tr>
      <w:tr>
        <w:tc>
          <w:tcPr>
            <w:tcW w:type="dxa" w:w="2880"/>
          </w:tcPr>
          <w:p>
            <w:r>
              <w:t>竹材</w:t>
            </w:r>
          </w:p>
        </w:tc>
        <w:tc>
          <w:tcPr>
            <w:tcW w:type="dxa" w:w="2880"/>
          </w:tcPr>
          <w:p>
            <w:r>
              <w:t>7000 CNY/m³，约 35.2 CNY/m</w:t>
            </w:r>
          </w:p>
        </w:tc>
        <w:tc>
          <w:tcPr>
            <w:tcW w:type="dxa" w:w="2880"/>
          </w:tcPr>
          <w:p>
            <w:r>
              <w:t>参考量级，待供应商报价</w:t>
            </w:r>
          </w:p>
        </w:tc>
      </w:tr>
      <w:tr>
        <w:tc>
          <w:tcPr>
            <w:tcW w:type="dxa" w:w="2880"/>
          </w:tcPr>
          <w:p>
            <w:r>
              <w:t>钢管 Φ80×4</w:t>
            </w:r>
          </w:p>
        </w:tc>
        <w:tc>
          <w:tcPr>
            <w:tcW w:type="dxa" w:w="2880"/>
          </w:tcPr>
          <w:p>
            <w:r>
              <w:t>8.5 CNY/kg</w:t>
            </w:r>
          </w:p>
        </w:tc>
        <w:tc>
          <w:tcPr>
            <w:tcW w:type="dxa" w:w="2880"/>
          </w:tcPr>
          <w:p>
            <w:r>
              <w:t>参考量级，待报价</w:t>
            </w:r>
          </w:p>
        </w:tc>
      </w:tr>
      <w:tr>
        <w:tc>
          <w:tcPr>
            <w:tcW w:type="dxa" w:w="2880"/>
          </w:tcPr>
          <w:p>
            <w:r>
              <w:t>混凝土配重</w:t>
            </w:r>
          </w:p>
        </w:tc>
        <w:tc>
          <w:tcPr>
            <w:tcW w:type="dxa" w:w="2880"/>
          </w:tcPr>
          <w:p>
            <w:r>
              <w:t>900 CNY/m³</w:t>
            </w:r>
          </w:p>
        </w:tc>
        <w:tc>
          <w:tcPr>
            <w:tcW w:type="dxa" w:w="2880"/>
          </w:tcPr>
          <w:p>
            <w:r>
              <w:t>参考量级，待报价</w:t>
            </w:r>
          </w:p>
        </w:tc>
      </w:tr>
      <w:tr>
        <w:tc>
          <w:tcPr>
            <w:tcW w:type="dxa" w:w="2880"/>
          </w:tcPr>
          <w:p>
            <w:r>
              <w:t>竹抱箍</w:t>
            </w:r>
          </w:p>
        </w:tc>
        <w:tc>
          <w:tcPr>
            <w:tcW w:type="dxa" w:w="2880"/>
          </w:tcPr>
          <w:p>
            <w:r>
              <w:t>18 CNY/套</w:t>
            </w:r>
          </w:p>
        </w:tc>
        <w:tc>
          <w:tcPr>
            <w:tcW w:type="dxa" w:w="2880"/>
          </w:tcPr>
          <w:p>
            <w:r>
              <w:t>估算</w:t>
            </w:r>
          </w:p>
        </w:tc>
      </w:tr>
      <w:tr>
        <w:tc>
          <w:tcPr>
            <w:tcW w:type="dxa" w:w="2880"/>
          </w:tcPr>
          <w:p>
            <w:r>
              <w:t>竹—钢刚接节点</w:t>
            </w:r>
          </w:p>
        </w:tc>
        <w:tc>
          <w:tcPr>
            <w:tcW w:type="dxa" w:w="2880"/>
          </w:tcPr>
          <w:p>
            <w:r>
              <w:t>1000 CNY/处</w:t>
            </w:r>
          </w:p>
        </w:tc>
        <w:tc>
          <w:tcPr>
            <w:tcW w:type="dxa" w:w="2880"/>
          </w:tcPr>
          <w:p>
            <w:r>
              <w:t>最高优先级询价，需节点构造与材料清单</w:t>
            </w:r>
          </w:p>
        </w:tc>
      </w:tr>
      <w:tr>
        <w:tc>
          <w:tcPr>
            <w:tcW w:type="dxa" w:w="2880"/>
          </w:tcPr>
          <w:p>
            <w:r>
              <w:t>底部法兰</w:t>
            </w:r>
          </w:p>
        </w:tc>
        <w:tc>
          <w:tcPr>
            <w:tcW w:type="dxa" w:w="2880"/>
          </w:tcPr>
          <w:p>
            <w:r>
              <w:t>850 CNY/套</w:t>
            </w:r>
          </w:p>
        </w:tc>
        <w:tc>
          <w:tcPr>
            <w:tcW w:type="dxa" w:w="2880"/>
          </w:tcPr>
          <w:p>
            <w:r>
              <w:t>估算</w:t>
            </w:r>
          </w:p>
        </w:tc>
      </w:tr>
      <w:tr>
        <w:tc>
          <w:tcPr>
            <w:tcW w:type="dxa" w:w="2880"/>
          </w:tcPr>
          <w:p>
            <w:r>
              <w:t>安装人工</w:t>
            </w:r>
          </w:p>
        </w:tc>
        <w:tc>
          <w:tcPr>
            <w:tcW w:type="dxa" w:w="2880"/>
          </w:tcPr>
          <w:p>
            <w:r>
              <w:t>400 CNY/人工日</w:t>
            </w:r>
          </w:p>
        </w:tc>
        <w:tc>
          <w:tcPr>
            <w:tcW w:type="dxa" w:w="2880"/>
          </w:tcPr>
          <w:p>
            <w:r>
              <w:t>劳务参考，非正式报价</w:t>
            </w:r>
          </w:p>
        </w:tc>
      </w:tr>
      <w:tr>
        <w:tc>
          <w:tcPr>
            <w:tcW w:type="dxa" w:w="2880"/>
          </w:tcPr>
          <w:p>
            <w:r>
              <w:t>苗木</w:t>
            </w:r>
          </w:p>
        </w:tc>
        <w:tc>
          <w:tcPr>
            <w:tcW w:type="dxa" w:w="2880"/>
          </w:tcPr>
          <w:p>
            <w:r>
              <w:t>35 CNY/株</w:t>
            </w:r>
          </w:p>
        </w:tc>
        <w:tc>
          <w:tcPr>
            <w:tcW w:type="dxa" w:w="2880"/>
          </w:tcPr>
          <w:p>
            <w:r>
              <w:t>苗圃参考，规格未确认</w:t>
            </w:r>
          </w:p>
        </w:tc>
      </w:tr>
    </w:tbl>
    <w:p>
      <w:pPr/>
      <w:r>
        <w:t>这些数值不作为参考文献条目，也不能把“待报价”写成已经获得的“供应商询价”。未收到报价单时不虚构供应商或询价日期。</w:t>
      </w:r>
    </w:p>
    <w:p>
      <w:pPr>
        <w:pStyle w:val="Heading2"/>
      </w:pPr>
      <w:r>
        <w:t>3. 统一引用与系统边界</w:t>
      </w:r>
    </w:p>
    <w:p>
      <w:pPr>
        <w:pStyle w:val="ListBullet"/>
      </w:pPr>
      <w:r>
        <w:t>PPT 可使用 [STD] 标准、[DB] 数据库、[ASSUMPTION] 假设/估算、[PROJECT] 项目提取与计算。论文查实后用 [LIT]。状态必须与真实证据一致。</w:t>
      </w:r>
    </w:p>
    <w:p>
      <w:pPr>
        <w:pStyle w:val="ListBullet"/>
      </w:pPr>
      <w:r>
        <w:t>来源短标放图脚，完整条目放参考页或备注。未核原文的数值须明确为当前参考输入；关键缺口不能仅靠角落引用掩盖。</w:t>
      </w:r>
    </w:p>
    <w:p>
      <w:pPr>
        <w:pStyle w:val="ListBullet"/>
      </w:pPr>
      <w:r>
        <w:t>A1–A3 是拟统一的目标边界，尚不能保证所有现有因子都已核实为同口径。核对前可用："Preliminary embodied-carbon estimate using reference factors; factor boundaries require alignment. Biogenic carbon storage is not credited."</w:t>
      </w:r>
    </w:p>
    <w:p>
      <w:pPr>
        <w:pStyle w:val="ListBullet"/>
      </w:pPr>
      <w:r>
        <w:t>全部因子确认同口径后，才改成："A1–A3 embodied carbon; biogenic carbon storage excluded."</w:t>
      </w:r>
    </w:p>
    <w:p>
      <w:pPr>
        <w:pStyle w:val="ListBullet"/>
      </w:pPr>
      <w:r>
        <w:t>不把 ISO 21930 / EN 15804 下生物碳处理简化成普遍适用的 −1/−1 抵扣规则。若另算固碳，需核对标准版本、具体规则、模块分配、来源与生命周期情景；本次不自行加负排放。</w:t>
      </w:r>
    </w:p>
    <w:p>
      <w:pPr>
        <w:pStyle w:val="Heading2"/>
      </w:pPr>
      <w:r>
        <w:t>4. 对正式 PPT 的影响</w:t>
      </w:r>
    </w:p>
    <w:p>
      <w:pPr>
        <w:pStyle w:val="ListBullet"/>
      </w:pPr>
      <w:r>
        <w:t>第 6 页材料比较：钢材等标注来源状态；竹材参数暂为待验证输入，导热系数应注明方向，不由低 λ 推导表面必然接近气温。</w:t>
      </w:r>
    </w:p>
    <w:p>
      <w:pPr>
        <w:pStyle w:val="ListBullet"/>
      </w:pPr>
      <w:r>
        <w:t>第 7 页结构可行性：竹材 f、E、密度来源缺口直接影响挠度与承载计算，节点转动刚度仍未验证。</w:t>
      </w:r>
    </w:p>
    <w:p>
      <w:pPr>
        <w:pStyle w:val="ListBullet"/>
      </w:pPr>
      <w:r>
        <w:t>第 8 页造价：保留单元约 51,676 CNY 的“概算”性质，节点价格最不确定。</w:t>
      </w:r>
    </w:p>
    <w:p>
      <w:pPr>
        <w:pStyle w:val="ListBullet"/>
      </w:pPr>
      <w:r>
        <w:t>第 9 页碳排：约 2,820 kgCO₂e/unit 是当前假定因子下的初步估算，竹材因子、处理工艺及节点计入范围待核。</w:t>
      </w:r>
    </w:p>
    <w:p>
      <w:pPr>
        <w:pStyle w:val="ListBullet"/>
      </w:pPr>
      <w:r>
        <w:t>第 10 页植物：湿重和 LAI 尚无可追溯原始依据，作为情景输入，不承诺适生性与成熟表现。</w:t>
      </w:r>
    </w:p>
    <w:p>
      <w:pPr>
        <w:pStyle w:val="ListBullet"/>
      </w:pPr>
      <w:r>
        <w:t>第 16 页施工：风荷载和配重仍需独立结构校核，基本风压与累计风投影面积不能构成基础安全证明。</w:t>
      </w:r>
    </w:p>
    <w:p>
      <w:pPr>
        <w:pStyle w:val="ListBullet"/>
      </w:pPr>
      <w:r>
        <w:t>第 18 页参考：只列实际查用和可追溯来源；尚待查实项放“Pending evidence”，不制造完整论文条目。</w:t>
      </w:r>
    </w:p>
    <w:p>
      <w:pPr>
        <w:pStyle w:val="Heading2"/>
      </w:pPr>
      <w:r>
        <w:t>5. 最重要的材料身份核对</w:t>
      </w:r>
    </w:p>
    <w:p>
      <w:pPr/>
      <w:r>
        <w:t>用户资料及源工作簿混用 glubam、重组竹、bamboo scrimber。胶合竹、重组竹/竹重组材的生产工艺、密度、力学和碳因子并不天然相同。英文产品名称应在具体材料身份明确后统一；在此之前使用“proposed engineered bamboo”，并声明采用参数待产品/试验数据确认。不能从不同产品论文中分别挑取最有利参数拼成一个并不存在的材料。</w:t>
      </w:r>
    </w:p>
    <w:p>
      <w:pPr/>
      <w:r>
        <w:t>补证优先级：① 工程竹产品身份与碳/热/力学全套参数；② 植物湿重及 LAI；③ 节点详图与报价及其他价格；④ 标准原文、材料类别与边界逐条核对。此为下一步证据工作清单，不表示当前已完成检索或询价。</w:t>
      </w:r>
    </w:p>
    <w:p>
      <w:pPr>
        <w:pStyle w:val="Heading1"/>
      </w:pPr>
      <w:r>
        <w:t>十一、拓展范围确认（v0.6，用户最新要求）</w:t>
      </w:r>
    </w:p>
    <w:p>
      <w:pPr>
        <w:pStyle w:val="ListBullet"/>
      </w:pPr>
      <w:r>
        <w:t>只纳入拓展 1：模拟不同结构参数下的遮阴范围变化。</w:t>
      </w:r>
    </w:p>
    <w:p>
      <w:pPr>
        <w:pStyle w:val="ListBullet"/>
      </w:pPr>
      <w:r>
        <w:t>当前只预留第 14 页，研究具体内容由用户稍后补充。在收到内容前不自行选参数、开展计算或编写结果。</w:t>
      </w:r>
    </w:p>
    <w:p>
      <w:pPr>
        <w:pStyle w:val="ListBullet"/>
      </w:pPr>
      <w:r>
        <w:t>不纳入拓展 2 的城市街景效果图，不纳入拓展 3 的传感器专题，不制作这两项新增图页。</w:t>
      </w:r>
    </w:p>
    <w:p>
      <w:pPr>
        <w:pStyle w:val="ListBullet"/>
      </w:pPr>
      <w:r>
        <w:t>原大纲中的一般应用布置与验证计划仍属既有内容，不扩展为街景渲染或传感器系统设计。</w:t>
      </w:r>
    </w:p>
    <w:p>
      <w:pPr>
        <w:pStyle w:val="ListBullet"/>
      </w:pPr>
      <w:r>
        <w:t>总页数仍为 18 页（17 页主讲＋1 页来源/答辩备份），不采用此前讨论中把三项拓展全部加入的重排建议。</w:t>
      </w:r>
    </w:p>
    <w:p>
      <w:pPr>
        <w:pStyle w:val="ListBullet"/>
      </w:pPr>
      <w:r>
        <w:t>保持用户已确认的简约浅底、少量藤蔓装饰风格；仅展示最终方案，名称 VineWeave Canopy 仍为暂定建议。</w:t>
      </w:r>
    </w:p>
    <w:p>
      <w:pPr>
        <w:pStyle w:val="Heading1"/>
      </w:pPr>
      <w:r>
        <w:t>十二、参考审查与逐页文献标注（v0.7）</w:t>
      </w:r>
    </w:p>
    <w:p>
      <w:pPr/>
      <w:r>
        <w:t>本节优先于早期“尚未独立检查”的工作记录：已检查文献与论点适配性、证据缺口并安排逐页引用；在线访问仍被代理 403 拒绝，未完成原文验证。</w:t>
      </w:r>
    </w:p>
    <w:p>
      <w:pPr/>
      <w:r>
        <w:t>审查状态：完成现有材料及论点的适配性检查、来源缺口整理和页面标注安排。尝试访问 Crossref、NOAA、UTCI、Circular Ecology 时均被当前网络代理以 403 拒绝；未完成在线书目核验、标准逐条核对或论文全文阅读。以下“适用”表示主题及用途合理，不等于原文已经核实。</w:t>
      </w:r>
    </w:p>
    <w:p>
      <w:pPr/>
      <w:r>
        <w:t>详细清单见 research/Reference-Audit-and-Slide-Citations.md。候选 [1] Watanabe et al. 2014；[2] Hoelscher et al. 2016；[3] NOAA 太阳位置计算；[4] UTCI Calculator。P1 项目模型；P2 项目遮阴计算；P3 工作簿；P4 设计提案。所有 S/DB 是内部待核编号，未核准前不作为正式文献编号。</w:t>
      </w:r>
    </w:p>
    <w:p>
      <w:pPr/>
      <w:r>
        <w:t>文字/数值旁加对应编号，图下加短来源；材料常数逐项对应来源。样张上仅有模型与尺寸时至少标 P1；简约藤蔓装饰不需要学术引文，但不作为实测植物图。正式参考页和正文引用需互相对应。</w:t>
      </w:r>
    </w:p>
    <w:p>
      <w:pPr>
        <w:pStyle w:val="Heading1"/>
      </w:pPr>
      <w:r>
        <w:t>十三、模拟包更新（v0.8，最新说明）</w:t>
      </w:r>
    </w:p>
    <w:p>
      <w:pPr/>
      <w:r>
        <w:t>本节及更新后的第14页优先于前文 v0.6“内容待补充”的历史记录。现已收到 06_参数与植物生长情景模拟.zip，并完成文档阅读、全部1750行公式关系、70组积分均值、覆盖率表及文件清单核对。未运行 Rhino 或完整重算几何。</w:t>
      </w:r>
    </w:p>
    <w:p>
      <w:pPr/>
      <w:r>
        <w:t>P5：本次参数与空间植物覆盖模拟报告、CSV、模型与计算脚本。项目来源编号在后续引用表同步扩充。审查细节和数据口径见 research/Extension-Package-Review.md。</w:t>
      </w:r>
    </w:p>
    <w:p>
      <w:pPr/>
      <w:r>
        <w:t>保持18页总量；第14页取补充包中的精选证据，不自动追加四页。新指标不能替换旧理想叶面数据；没有新增植物月份、物种生长或实测温降证据。</w:t>
      </w:r>
    </w:p>
    <w:p>
      <w:pPr/>
      <w:r>
        <w:t>交付清单有三件未包含文件：九页英文PPTX、对应PDF和总览图，当前材料足以准备此拓展页。其余65件已列文件的字节数和SHA-256吻合。</w:t>
      </w:r>
    </w:p>
    <w:p>
      <w:pPr>
        <w:pStyle w:val="Heading1"/>
      </w:pPr>
      <w:r>
        <w:t>十四、逐页信息量审查（v0.9）</w:t>
      </w:r>
    </w:p>
    <w:p>
      <w:pPr/>
      <w:r>
        <w:t>总体判断：原大纲如果把所有备选图、来源、限制和口述内容全部放在屏幕上会偏多，尤其1、6、11、12、14页。资料详细不代表投影必须详细。正式页面按每页新增的“最终上屏内容上限”执行；下方完整资料保留作讲稿和溯源。</w:t>
      </w:r>
    </w:p>
    <w:p>
      <w:pPr/>
      <w:r>
        <w:t>正文通常约25—45英文词（含短标签，标题/必要图脚另计），每页一个结论、一个主视觉或一个组合图。成员页、材料表、参考页可例外，但不得通过缩小字体弥补布局不足。正文通常20—24pt，关键图表标签尽量18pt以上，必要图脚12—14pt并检查实际投影可读性。引用紧邻论点或图下保留，不能以精简为由删去关键假设。</w:t>
      </w:r>
    </w:p>
    <w:p>
      <w:pPr/>
      <w:r>
        <w:t>必要证据边界就地表达：第7页joint restraint assumed；第8页estimate；第9页preliminary factors；第11页conceptual airflow；第13页ideal leaf envelope；第14—15页scenario / direct-beam blockage。其他长限制放讲稿，不在每页重复整段免责声明。</w:t>
      </w:r>
    </w:p>
    <w:p>
      <w:pPr/>
      <w:r>
        <w:t>时间预算（仅规划，未完成讲稿计时）：页1—18依次20/20/25/20/25/35/35/25/25/25/30/30/35/40/35/25/35/20秒，共505秒（8分25秒），加约20—30秒转场，目标约8分45秒—8分55秒；问答2—3分钟，总计约10分45秒—11分55秒。参考页不按计划逐条口述。真正的计时仍以英文讲稿和排练为准。</w:t>
      </w:r>
    </w:p>
    <w:p>
      <w:pPr/>
      <w:r>
        <w:t>用户若坚持总共18页，优先将第9页碳排与第8页造价合并成两个极简指标块（维护移讲稿），而不是再合并两页模拟；合并后需重新检查图表/字号。当前建议19页不突破课程上限，但尚待用户对结构调整确认。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