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VineWeave Canopy — Presenter Guide V6</w:t>
      </w:r>
    </w:p>
    <w:p>
      <w:r>
        <w:t>981 spoken English words on slides 1–16; about 7.3–8.2 minutes at 120–135 words/minute before figure pauses and slide changes. Rehearse and reserve Q&amp;A within the 10–12 minute total.</w:t>
      </w:r>
    </w:p>
    <w:p>
      <w:pPr>
        <w:pStyle w:val="Heading1"/>
      </w:pPr>
      <w:r>
        <w:t>01 | VineWeave Canopy</w:t>
      </w:r>
    </w:p>
    <w:p>
      <w:r>
        <w:t>Takeaway: Introduce the project before the team credits.</w:t>
      </w:r>
    </w:p>
    <w:p>
      <w:r>
        <w:t>Spoken script: VineWeave Canopy combines climbing plants with a tree-like support to provide pedestrian shade. Our group connects parametric geometry, material and construction choices, and shading analysis. The names below identify our responsibilities. We will explain both the design decisions and the evidence supporting them.</w:t>
      </w:r>
    </w:p>
    <w:p>
      <w:r>
        <w:t>Transition: First, the final geometry and its drawing definitions.</w:t>
      </w:r>
    </w:p>
    <w:p>
      <w:r>
        <w:t>Q&amp;A: Where are the full roles? The cover retains the core allocation; the planning document records the complete supplied descriptions.</w:t>
      </w:r>
    </w:p>
    <w:p>
      <w:pPr>
        <w:pStyle w:val="Heading1"/>
      </w:pPr>
      <w:r>
        <w:t>02 | Define the final geometry—and how it is measured</w:t>
      </w:r>
    </w:p>
    <w:p>
      <w:r>
        <w:t>Takeaway: Final dimensions need explicit definitions and readable technical views.</w:t>
      </w:r>
    </w:p>
    <w:p>
      <w:r>
        <w:t>Spoken script: The final geometry has an overall height of about three point four eight metres and a plan extent of six point two two by six point six six metres. Its approximate maximum horizontal exterior span is six point nine one metres. For these curved supports, inclination is defined by the endpoint chord above horizontal. The accompanying drawing sheets explain that definition and the measured range.</w:t>
      </w:r>
    </w:p>
    <w:p>
      <w:r>
        <w:t>Transition: Next, link those features to environmental potential.</w:t>
      </w:r>
    </w:p>
    <w:p>
      <w:r>
        <w:t>Q&amp;A: Is 6.91 metres a circular diameter? No. It is the maximum pair distance in the projected exterior mesh, not a foliage diameter or net usable width.</w:t>
      </w:r>
    </w:p>
    <w:p>
      <w:pPr>
        <w:pStyle w:val="Heading1"/>
      </w:pPr>
      <w:r>
        <w:t>03 | How the canopy can improve pedestrian comfort</w:t>
      </w:r>
    </w:p>
    <w:p>
      <w:r>
        <w:t>Takeaway: Follow the sunlight, air and plant-water arrows; only shade is quantified here.</w:t>
      </w:r>
    </w:p>
    <w:p>
      <w:r>
        <w:t>Spoken script: The crown and foliage intercept direct sun before it reaches people and the ground. The solar arrows identify the pathway quantified in our optical scenarios. Blue arrows show potential air paths through open sides, not a simulated wind improvement. The dashed plant-water arrows indicate possible evapotranspiration, which depends on healthy plants and water. Denser foliage can also resist airflow.</w:t>
      </w:r>
    </w:p>
    <w:p>
      <w:r>
        <w:t>Transition: Material assignment follows the structural roles.</w:t>
      </w:r>
    </w:p>
    <w:p>
      <w:r>
        <w:t>Q&amp;A: Do these arrows show simulated temperature or wind? No. They explain physical mechanisms; the project quantifies shade, not cooling degrees or wind speed.</w:t>
      </w:r>
    </w:p>
    <w:p>
      <w:pPr>
        <w:pStyle w:val="Heading1"/>
      </w:pPr>
      <w:r>
        <w:t>04 | Separate the support role from the crown role</w:t>
      </w:r>
    </w:p>
    <w:p>
      <w:r>
        <w:t>Takeaway: The quantity schedule links a clear material role to a specific part of the model.</w:t>
      </w:r>
    </w:p>
    <w:p>
      <w:r>
        <w:t>Spoken script: The take-off gives twelve ground-reaching supports and forty-seven crown members, with a total centre-line length of two hundred and eighty-eight point six six metres. We propose an eighty-by-four millimetre steel tube for supports and solid engineered bamboo for the crown. This is a material strategy, not proof that either zone is safe.</w:t>
      </w:r>
    </w:p>
    <w:p>
      <w:r>
        <w:t>Transition: Next, the material-screening criteria.</w:t>
      </w:r>
    </w:p>
    <w:p>
      <w:r>
        <w:t>Q&amp;A: Does the exterior model contain the final wall thickness? No. The pipe exterior and proposed material section must be distinguished.</w:t>
      </w:r>
    </w:p>
    <w:p>
      <w:pPr>
        <w:pStyle w:val="Heading1"/>
      </w:pPr>
      <w:r>
        <w:t>05 | Five criteria guide the material selection</w:t>
      </w:r>
    </w:p>
    <w:p>
      <w:r>
        <w:t>Takeaway: Material screening includes mechanical and practical conditions, not only carbon.</w:t>
      </w:r>
    </w:p>
    <w:p>
      <w:r>
        <w:t>Spoken script: These are preliminary screening inputs. Each cost column assumes the same full member length; it is not the adopted unit budget. Steel offers much greater nominal bending capacity. Engineered bamboo is proposed for the crown, but stiffness, treatment and product-specific evidence are essential. Raw bamboo’s low reference cost does not remove its variability and maintenance issues.</w:t>
      </w:r>
    </w:p>
    <w:p>
      <w:r>
        <w:t>Transition: Crown stiffness leads directly to the connection question.</w:t>
      </w:r>
    </w:p>
    <w:p>
      <w:r>
        <w:t>Q&amp;A: Are these all verified design values? No. They are workbook screening inputs, and the bamboo identity and properties must be confirmed consistently.</w:t>
      </w:r>
    </w:p>
    <w:p>
      <w:pPr>
        <w:pStyle w:val="Heading1"/>
      </w:pPr>
      <w:r>
        <w:t>06 | The crown is stiffness-sensitive: joints matter</w:t>
      </w:r>
    </w:p>
    <w:p>
      <w:r>
        <w:t>Takeaway: Ideal fixed-end behaviour is a requirement to investigate, not an achieved joint property.</w:t>
      </w:r>
    </w:p>
    <w:p>
      <w:r>
        <w:t>Spoken script: The workbook applies self-weight and an assumed wet-foliage load. At the six point six five metre span, the simplified deflection changes from about one hundred millimetres under simple supports to twenty under ideal fixed ends. The adopted limit is thirty-three point two five millimetres. Actual joint and whole-frame stiffness still require verification.</w:t>
      </w:r>
    </w:p>
    <w:p>
      <w:r>
        <w:t>Transition: Connection complexity also affects the budget.</w:t>
      </w:r>
    </w:p>
    <w:p>
      <w:r>
        <w:t>Q&amp;A: Do twelve nodes fix every crown member? That has not been demonstrated. Joint rotation and global load transfer still require modelling or testing.</w:t>
      </w:r>
    </w:p>
    <w:p>
      <w:pPr>
        <w:pStyle w:val="Heading1"/>
      </w:pPr>
      <w:r>
        <w:t>07 | The unit budget includes fabrication, installation and care</w:t>
      </w:r>
    </w:p>
    <w:p>
      <w:r>
        <w:t>Takeaway: The budget makes the node trade-off visible.</w:t>
      </w:r>
    </w:p>
    <w:p>
      <w:r>
        <w:t>Spoken script: The preliminary total is approximately fifty-one thousand six hundred and seventy-six yuan. Materials are fifty-nine percent of this total; the other categories include fabrication, installation and care. Within materials, twelve proposed nodes account for twelve thousand yuan, more than the primary steel members. The component table is only part of the overall cost, not an additional total.</w:t>
      </w:r>
    </w:p>
    <w:p>
      <w:r>
        <w:t>Transition: Next, the carbon and maintenance picture.</w:t>
      </w:r>
    </w:p>
    <w:p>
      <w:r>
        <w:t>Q&amp;A: Are the node prices confirmed? No. They are the most uncertain allowance and need a defined detail and supplier quotation.</w:t>
      </w:r>
    </w:p>
    <w:p>
      <w:pPr>
        <w:pStyle w:val="Heading1"/>
      </w:pPr>
      <w:r>
        <w:t>08 | Account for the members, base and maintenance needs</w:t>
      </w:r>
    </w:p>
    <w:p>
      <w:r>
        <w:t>Takeaway: The estimate helps identify contributors and care responsibilities.</w:t>
      </w:r>
    </w:p>
    <w:p>
      <w:r>
        <w:t>Spoken script: The primary members and counterweight dominate the current carbon estimate. The counterweight contributes about thirty-nine percent, so foundation decisions also matter. We show the adopted estimate rather than claiming a verified life-cycle result. Outdoor performance also needs coating care, bamboo treatment and connection inspection. Product factors and the allowance for actual node materials still require checking.</w:t>
      </w:r>
    </w:p>
    <w:p>
      <w:r>
        <w:t>Transition: Plant choice adds another set of requirements.</w:t>
      </w:r>
    </w:p>
    <w:p>
      <w:r>
        <w:t>Q&amp;A: Is stored biological carbon deducted? No. It is not credited in this estimate, and factor boundaries are not yet fully aligned.</w:t>
      </w:r>
    </w:p>
    <w:p>
      <w:pPr>
        <w:pStyle w:val="Heading1"/>
      </w:pPr>
      <w:r>
        <w:t>09 | Keep the planting mix conditional on the site</w:t>
      </w:r>
    </w:p>
    <w:p>
      <w:r>
        <w:t>Takeaway: The 2+1 mix is a project proposal, not a verified choice for every city.</w:t>
      </w:r>
    </w:p>
    <w:p>
      <w:r>
        <w:t>Spoken script: The material schedule proposes two Boston ivy plants and one Rangoon creeper. Boston ivy is deciduous, so a summer canopy should not be presented as year-round cover. Rangoon creeper needs a suitable winter climate. The alternative trumpet creeper also needs species identification and maintenance checks. Guides, irrigation and pruning are part of the planting design.</w:t>
      </w:r>
    </w:p>
    <w:p>
      <w:r>
        <w:t>Transition: Next, the optical method used to evaluate shade.</w:t>
      </w:r>
    </w:p>
    <w:p>
      <w:r>
        <w:t>Q&amp;A: Is this mix suitable for every city? No. Local winter conditions, nursery species and attachment to the support still need checking.</w:t>
      </w:r>
    </w:p>
    <w:p>
      <w:pPr>
        <w:pStyle w:val="Heading1"/>
      </w:pPr>
      <w:r>
        <w:t>10 | Project shade onto one fixed reference zone</w:t>
      </w:r>
    </w:p>
    <w:p>
      <w:r>
        <w:t>Takeaway: One calculation isolates leaf-envelope geometry; the other includes frame and optical effects.</w:t>
      </w:r>
    </w:p>
    <w:p>
      <w:r>
        <w:t>Spoken script: We project the geometry along the solar direction and intersect it with the same target. The fixed target excludes a central disk. Ideal overlap uses a continuous leaf envelope. Equivalent blockage includes opaque frame shadows and assumed leaf transmittance, with overlap deducted. The two metrics are different, and neither is a temperature change.</w:t>
      </w:r>
    </w:p>
    <w:p>
      <w:r>
        <w:t>Transition: First, the ideal time-dependent result.</w:t>
      </w:r>
    </w:p>
    <w:p>
      <w:r>
        <w:t>Q&amp;A: Was numerical resolution checked? The supplied package includes raster spot checks; five versus two-point-five millimetre results differ by up to about 1.06 percentage points in those samples, not as an overall error bound.</w:t>
      </w:r>
    </w:p>
    <w:p>
      <w:pPr>
        <w:pStyle w:val="Heading1"/>
      </w:pPr>
      <w:r>
        <w:t>11 | The shadow position and solar season both matter</w:t>
      </w:r>
    </w:p>
    <w:p>
      <w:r>
        <w:t>Takeaway: Read the footprint and the whole time window, not only the noon peak.</w:t>
      </w:r>
    </w:p>
    <w:p>
      <w:r>
        <w:t>Spoken script: The solstice footprint overlaps about forty-seven percent of the target at nine and fifteen solar time, and almost ninety-nine percent at noon. The curve adds the intervening hours and an equinox solar case. Their means are about seventy-five and fifty percent. This compares solar conditions under the same hypothetical foliage.</w:t>
      </w:r>
    </w:p>
    <w:p>
      <w:r>
        <w:t>Transition: We then change one geometric control at a time.</w:t>
      </w:r>
    </w:p>
    <w:p>
      <w:r>
        <w:t>Q&amp;A: Does winter use the equinox result? No. Winter solar conditions and plant leaf states would need their own inputs.</w:t>
      </w:r>
    </w:p>
    <w:p>
      <w:pPr>
        <w:pStyle w:val="Heading1"/>
      </w:pPr>
      <w:r>
        <w:t>12 | Seven models test three geometry controls</w:t>
      </w:r>
    </w:p>
    <w:p>
      <w:r>
        <w:t>Takeaway: The crown-width result is part of a broader seven-model parameter study.</w:t>
      </w:r>
    </w:p>
    <w:p>
      <w:r>
        <w:t>Spoken script: The work includes width, upper-height control and corner factor, with a shared baseline. At fifty percent cover, mean blockage rises from fifty-two point three to sixty-six point one percent as the crown expands. The table records the other controls too. These are controlled shade comparisons, not proof of an optimum or of structural safety after changing geometry.</w:t>
      </w:r>
    </w:p>
    <w:p>
      <w:r>
        <w:t>Transition: Next, keep the structure fixed and change foliage.</w:t>
      </w:r>
    </w:p>
    <w:p>
      <w:r>
        <w:t>Q&amp;A: Does the height control shift the whole model by 0.4 metres? No. It is smoothly weighted; actual maximum heights must be read from the geometry records.</w:t>
      </w:r>
    </w:p>
    <w:p>
      <w:pPr>
        <w:pStyle w:val="Heading1"/>
      </w:pPr>
      <w:r>
        <w:t>13 | Coverage amount alone does not determine useful shade</w:t>
      </w:r>
    </w:p>
    <w:p>
      <w:r>
        <w:t>Takeaway: The package tests both cover quantity and where that cover is placed.</w:t>
      </w:r>
    </w:p>
    <w:p>
      <w:r>
        <w:t>Spoken script: The five plan-cover states give mean blockage of about forty, forty-nine, sixty, sixty-eight and seventy-one percent. Bare members already provide shade at zero leaf cover. At the same fifty percent cover, three spatial layouts also produce different noon results. Coverage percentage therefore does not describe where useful shade falls; spatial distribution also matters.</w:t>
      </w:r>
    </w:p>
    <w:p>
      <w:r>
        <w:t>Transition: We connect that moving footprint to public use.</w:t>
      </w:r>
    </w:p>
    <w:p>
      <w:r>
        <w:t>Q&amp;A: Why is 95% cover not 95% blockage? Target intersection, frame overlap, leaf placement and transmittance all affect the metric.</w:t>
      </w:r>
    </w:p>
    <w:p>
      <w:pPr>
        <w:pStyle w:val="Heading1"/>
      </w:pPr>
      <w:r>
        <w:t>14 | Put occupied-hour shade into the layout decision</w:t>
      </w:r>
    </w:p>
    <w:p>
      <w:r>
        <w:t>Takeaway: A practical layout must use the real occupied area, not only a reference square.</w:t>
      </w:r>
    </w:p>
    <w:p>
      <w:r>
        <w:t>Spoken script: The animation holds cover fixed while the sun moves. Seating should be checked during occupied hours, with room for circulation, the counterweight, roots and maintenance. The next verification step is a real-site assessment with simultaneous shaded and unshaded environmental observations. The current analysis does not establish net usable shaded floor area or a measured comfort improvement.</w:t>
      </w:r>
    </w:p>
    <w:p>
      <w:r>
        <w:t>Transition: The last design link is construction organisation.</w:t>
      </w:r>
    </w:p>
    <w:p>
      <w:r>
        <w:t>Q&amp;A: Are sensors a new project module here? No. This is the existing validation proposal, not a new monitoring-system design.</w:t>
      </w:r>
    </w:p>
    <w:p>
      <w:pPr>
        <w:pStyle w:val="Heading1"/>
      </w:pPr>
      <w:r>
        <w:t>15 | Coordinate prefabricated modules and site interfaces</w:t>
      </w:r>
    </w:p>
    <w:p>
      <w:r>
        <w:t>Takeaway: The assembly work is more specific than a generic prefabrication claim.</w:t>
      </w:r>
    </w:p>
    <w:p>
      <w:r>
        <w:t>Spoken script: The proposal divides the system into crown members, supports, connections, base and planting. Numbering and preassembly help site organisation. However, the heavy counterweight governs lifting, and the sleeve-and-grout node requires curing and checks. The fourteen-person-day allowance is labour, not a calendar programme. A fully dry, losslessly reversible system should not be claimed.</w:t>
      </w:r>
    </w:p>
    <w:p>
      <w:r>
        <w:t>Transition: Finally, our delivered work and its next checks.</w:t>
      </w:r>
    </w:p>
    <w:p>
      <w:r>
        <w:t>Q&amp;A: Is the node a finished construction detail? No. Its geometry, stiffness, fabrication and quality controls need to be resolved together.</w:t>
      </w:r>
    </w:p>
    <w:p>
      <w:pPr>
        <w:pStyle w:val="Heading1"/>
      </w:pPr>
      <w:r>
        <w:t>16 | Connect geometry, construction and useful shade</w:t>
      </w:r>
    </w:p>
    <w:p>
      <w:r>
        <w:t>Takeaway: The contribution is a connected body of design work with a clear evidence boundary.</w:t>
      </w:r>
    </w:p>
    <w:p>
      <w:r>
        <w:t>Spoken script: The group delivers a parametric form and take-off, a proposed material and build-up strategy, and reproducible shade scenarios. The supplement adds seven parameter models, five cover states and seventeen hundred and fifty time-step results. These outputs make the design decisions traceable. Product data, joint behaviour, plant suitability and real-site performance are the next checks. Thank you.</w:t>
      </w:r>
    </w:p>
    <w:p>
      <w:r>
        <w:t>Transition: We welcome your questions.</w:t>
      </w:r>
    </w:p>
    <w:p>
      <w:r>
        <w:t>Q&amp;A: What can be stated most confidently? The defined project geometry and the calculated shade scenarios under their explicit assumptions.</w:t>
      </w:r>
    </w:p>
    <w:p>
      <w:pPr>
        <w:pStyle w:val="Heading1"/>
      </w:pPr>
      <w:r>
        <w:t>17 | References and project evidence</w:t>
      </w:r>
    </w:p>
    <w:p>
      <w:r>
        <w:t>Takeaway: Source labels let the audience distinguish literature, project calculations and proposals.</w:t>
      </w:r>
    </w:p>
    <w:p>
      <w:r>
        <w:t>Spoken script: This is a reference and question page, not part of the planned spoken sequence. It identifies the literature leads and project evidence. Specific product parameters and standards still require original-source checks.</w:t>
      </w:r>
    </w:p>
    <w:p>
      <w:r>
        <w:t>Transition: Return to the relevant result slide during questions.</w:t>
      </w:r>
    </w:p>
    <w:p>
      <w:r>
        <w:t>Q&amp;A: Why are some data preliminary? The supplied package contains assumptions and estimates that have not all been traced to product-specific or primary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