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V4</w:t>
      </w:r>
    </w:p>
    <w:p>
      <w:r>
        <w:t>1144 spoken English words on slides 1–18, approximately 8.5–9.5 minutes at 120–135 words/minute before pauses. Rehearse with animations and reserve Q&amp;A within 10–12 minutes.</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design brief.</w:t>
      </w:r>
    </w:p>
    <w:p>
      <w:r>
        <w:t>Q&amp;A: Where are the full roles? The cover retains the core allocation; the planning document records the complete supplied descriptions.</w:t>
      </w:r>
    </w:p>
    <w:p>
      <w:pPr>
        <w:pStyle w:val="Heading1"/>
      </w:pPr>
      <w:r>
        <w:t>02 | Translate the brief into five design decisions</w:t>
      </w:r>
    </w:p>
    <w:p>
      <w:r>
        <w:t>Takeaway: Each course requirement is linked to a visible design response and a work product.</w:t>
      </w:r>
    </w:p>
    <w:p>
      <w:r>
        <w:t>Spoken script: The brief asks for more than a tree-like form. We connect materials, geometry, environmental performance, planting and assembly. This table shows the response and the work produced for each requirement. Shade has been calculated under explicit assumptions; airflow and real thermal comfort remain design and validation questions.</w:t>
      </w:r>
    </w:p>
    <w:p>
      <w:r>
        <w:t>Transition: Next, the geometry and drawing definitions.</w:t>
      </w:r>
    </w:p>
    <w:p>
      <w:r>
        <w:t>Q&amp;A: Does every row have an experiment? No. We distinguish model outputs, calculated scenarios, preliminary estimates and design proposals.</w:t>
      </w:r>
    </w:p>
    <w:p>
      <w:pPr>
        <w:pStyle w:val="Heading1"/>
      </w:pPr>
      <w:r>
        <w:t>03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1"/>
      </w:pPr>
      <w:r>
        <w:t>04 | How the canopy can improve pedestrian comfort</w:t>
      </w:r>
    </w:p>
    <w:p>
      <w:r>
        <w:t>中文提示：用太阳、气流和植物水分箭头逐一解释；只有遮荫做了计算，不能把箭头讲成风速或温降。</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1"/>
      </w:pPr>
      <w:r>
        <w:t>05 | Separate the support role from the crown role</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Next, the material-screening criteria.</w:t>
      </w:r>
    </w:p>
    <w:p>
      <w:r>
        <w:t>Q&amp;A: Does the exterior model contain the final wall thickness? No. The pipe exterior and proposed material section must be distinguished.</w:t>
      </w:r>
    </w:p>
    <w:p>
      <w:pPr>
        <w:pStyle w:val="Heading1"/>
      </w:pPr>
      <w:r>
        <w:t>06 | Five criteria guide the material selection</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Crown stiffness leads directly to the connection question.</w:t>
      </w:r>
    </w:p>
    <w:p>
      <w:r>
        <w:t>Q&amp;A: Are these all verified design values? No. They are workbook screening inputs, and the bamboo identity and properties must be confirmed consistently.</w:t>
      </w:r>
    </w:p>
    <w:p>
      <w:pPr>
        <w:pStyle w:val="Heading1"/>
      </w:pPr>
      <w:r>
        <w:t>07 | The crown is stiffness-sensitive: joints matter</w:t>
      </w:r>
    </w:p>
    <w:p>
      <w:r>
        <w:t>Takeaway: Ideal fixed-end behaviour is a requirement to investigate, not an achieved joint property.</w:t>
      </w:r>
    </w:p>
    <w:p>
      <w:r>
        <w:t>Spoken script: The workbook applies self-weight and an assumed wet-foliage load. At the six point six five metre span, the simplified deflection changes from about one hundred millimetres under simple supports to twenty under ideal fixed ends. The adopted limit is thirty-three point two five millimetres. Actual joint and whole-frame stiffness still require verification.</w:t>
      </w:r>
    </w:p>
    <w:p>
      <w:r>
        <w:t>Transition: Connection complexity also affects the budget.</w:t>
      </w:r>
    </w:p>
    <w:p>
      <w:r>
        <w:t>Q&amp;A: Do twelve nodes fix every crown member? That has not been demonstrated. Joint rotation and global load transfer still require modelling or testing.</w:t>
      </w:r>
    </w:p>
    <w:p>
      <w:pPr>
        <w:pStyle w:val="Heading1"/>
      </w:pPr>
      <w:r>
        <w:t>08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1"/>
      </w:pPr>
      <w:r>
        <w:t>09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1"/>
      </w:pPr>
      <w:r>
        <w:t>10 | Keep the planting mix conditional on the site</w:t>
      </w:r>
    </w:p>
    <w:p>
      <w:r>
        <w:t>中文提示：2株爬山虎＋1株使君子是原提案；先检查城市冬温、苗木身份和附着条件。</w:t>
      </w:r>
    </w:p>
    <w:p>
      <w:r>
        <w:t>Takeaway: The 2+1 mix is a project proposal, not a verified choice for every city.</w:t>
      </w:r>
    </w:p>
    <w:p>
      <w:r>
        <w:t>Spoken script: The material schedule proposes two Boston ivy plants and one Rangoon creeper. Boston ivy is deciduous, so a summer canopy should not be presented as year-round cover. Rangoon creeper needs a suitable winter climate. The alternative trumpet creeper also needs species identification and maintenance checks. Guides, irrigation and pruning are part of the planting design. We have not adopted a verified annual growth rate.</w:t>
      </w:r>
    </w:p>
    <w:p>
      <w:r>
        <w:t>Transition: Next, a conceptual establishment sequence and a transparent time sensitivity.</w:t>
      </w:r>
    </w:p>
    <w:p>
      <w:r>
        <w:t>Q&amp;A: Can we promise a maturity date? No. The city, nursery starting size, growth observations, branching and seasonal losses are still unknown.</w:t>
      </w:r>
    </w:p>
    <w:p>
      <w:pPr>
        <w:pStyle w:val="Heading1"/>
      </w:pPr>
      <w:r>
        <w:t>11 | From young climbers to a leafy crown</w:t>
      </w:r>
    </w:p>
    <w:p>
      <w:r>
        <w:t>中文提示：四图是空间覆盖概念，不对应年份。6/3/2季只是1/2/3米假设速率的路径到达时间，不是成冠预测。</w:t>
      </w:r>
    </w:p>
    <w:p>
      <w:r>
        <w:t>Takeaway: Use the images as a concept and the arithmetic as sensitivity, never as a biological forecast.</w:t>
      </w:r>
    </w:p>
    <w:p>
      <w:r>
        <w:t>Spoken script: These views illustrate establishment, upward training, lateral crown spread and maintenance. The supplied cover states are not observations taken in successive years. For a transparent route-time example, we assume a six point nine metre climbing path and a one point five metre starting shoot. Assumed extension rates of one, two or three metres per growing season give about six, three or two seasons to reach the route end. Branching, winter loss and cover density are not included, so this does not predict full shade readiness.</w:t>
      </w:r>
    </w:p>
    <w:p>
      <w:r>
        <w:t>Transition: Now return to the quantified optical method.</w:t>
      </w:r>
    </w:p>
    <w:p>
      <w:r>
        <w:t>Q&amp;A: Why does reaching the crown edge not mean full cover? One long shoot does not fill the crown; branching, training, leaf area and season determine useful shade.</w:t>
      </w:r>
    </w:p>
    <w:p>
      <w:pPr>
        <w:pStyle w:val="Heading1"/>
      </w:pPr>
      <w:r>
        <w:t>12 | Project shade onto one fixed reference zone</w:t>
      </w:r>
    </w:p>
    <w:p>
      <w:r>
        <w:t>Takeaway: One calculation isolates leaf-envelope geometry; the other includes frame and optical effects.</w:t>
      </w:r>
    </w:p>
    <w:p>
      <w:r>
        <w:t>Spoken script: We project the geometry along the solar direction and intersect it with the same target. The fixed target excludes a central disk. Ideal overlap uses a continuous leaf envelope. Equivalent blockage includes opaque frame shadows and assumed leaf transmittance, with overlap deducted. The two metrics are different, and neither is a temperature change.</w:t>
      </w:r>
    </w:p>
    <w:p>
      <w:r>
        <w:t>Transition: First, the ideal time-dependent result.</w:t>
      </w:r>
    </w:p>
    <w:p>
      <w:r>
        <w:t>Q&amp;A: Was numerical resolution checked? The supplied package includes raster spot checks; five versus two-point-five millimetre results differ by up to about 1.06 percentage points in those samples, not as an overall error bound.</w:t>
      </w:r>
    </w:p>
    <w:p>
      <w:pPr>
        <w:pStyle w:val="Heading1"/>
      </w:pPr>
      <w:r>
        <w:t>13 | The shadow position and solar season both matter</w:t>
      </w:r>
    </w:p>
    <w:p>
      <w:r>
        <w:t>Takeaway: Read the footprint and the whole time window, not only the noon peak.</w:t>
      </w:r>
    </w:p>
    <w:p>
      <w:r>
        <w:t>Spoken script: The solstice footprint overlaps about forty-seven percent of the target at nine and fifteen solar time, and almost ninety-nine percent at noon. The curve adds the intervening hours and an equinox solar case. Their means are about seventy-five and fifty percent. This is a comparison of solar conditions under hypothetical foliage, not a seasonal growth forecast.</w:t>
      </w:r>
    </w:p>
    <w:p>
      <w:r>
        <w:t>Transition: We then change one geometric control at a time.</w:t>
      </w:r>
    </w:p>
    <w:p>
      <w:r>
        <w:t>Q&amp;A: Does winter use the equinox result? No. Winter solar conditions and plant leaf states would need their own inputs.</w:t>
      </w:r>
    </w:p>
    <w:p>
      <w:pPr>
        <w:pStyle w:val="Heading1"/>
      </w:pPr>
      <w:r>
        <w:t>14 | Seven models test three geometry controls</w:t>
      </w:r>
    </w:p>
    <w:p>
      <w:r>
        <w:t>Takeaway: The crown-width result is part of a broader seven-model parameter study.</w:t>
      </w:r>
    </w:p>
    <w:p>
      <w:r>
        <w:t>Spoken script: The work includes width, upper-height control and corner factor, with a shared baseline. At fifty percent cover, mean blockage rises from fifty-two point three to sixty-six point one percent as the crown expands. The table records the other controls too. These are controlled shade comparisons, not proof of an optimum or of structural safety after changing geometry.</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1"/>
      </w:pPr>
      <w:r>
        <w:t>15 | Coverage amount alone does not determine useful shade</w:t>
      </w:r>
    </w:p>
    <w:p>
      <w:r>
        <w:t>Takeaway: The package tests both cover quantity and where that cover is placed.</w:t>
      </w:r>
    </w:p>
    <w:p>
      <w:r>
        <w:t>Spoken script: The five plan-cover states give mean blockage of about forty, forty-nine, sixty, sixty-eight and seventy-one percent. Bare members already provide shade at zero leaf cover. At the same fifty percent cover, three spatial layouts also produce different noon results. Coverage percentage therefore does not describe where useful shade falls, and the stages do not predict biological growth duration.</w:t>
      </w:r>
    </w:p>
    <w:p>
      <w:r>
        <w:t>Transition: We connect that moving footprint to public use.</w:t>
      </w:r>
    </w:p>
    <w:p>
      <w:r>
        <w:t>Q&amp;A: Why is 95% cover not 95% blockage? Target intersection, frame overlap, leaf placement and transmittance all affect the metric.</w:t>
      </w:r>
    </w:p>
    <w:p>
      <w:pPr>
        <w:pStyle w:val="Heading1"/>
      </w:pPr>
      <w:r>
        <w:t>16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1"/>
      </w:pPr>
      <w:r>
        <w:t>17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1"/>
      </w:pPr>
      <w:r>
        <w:t>18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biological establishment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1"/>
      </w:pPr>
      <w:r>
        <w:t>19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