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V7</w:t>
      </w:r>
    </w:p>
    <w:p>
      <w:r>
        <w:t>1143 spoken English words on slides 1–17. At 120–135 words/minute this is 8.5–9.5 minutes of continuous speech, before pauses and slide changes. Rehearse with figures and reserve Q&amp;A within 10–12 minutes. Takeaways, Q&amp;A and source-basis sections are not extra timed speech.</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final geometry and its drawing definitions.</w:t>
      </w:r>
    </w:p>
    <w:p>
      <w:r>
        <w:t>Q&amp;A: Where are the full roles? The cover retains the core allocation; the planning document records the complete supplied descriptions.</w:t>
      </w:r>
    </w:p>
    <w:p>
      <w:pPr>
        <w:pStyle w:val="Heading2"/>
      </w:pPr>
      <w:r>
        <w:t>Source basis — not spoken</w:t>
      </w:r>
    </w:p>
    <w:p>
      <w:r>
        <w:t>User-supplied team-allocation screenshot; project title approved in conversation.</w:t>
      </w:r>
    </w:p>
    <w:p>
      <w:r>
        <w:t>P1: final Rhino model and project modelling reports.</w:t>
      </w:r>
    </w:p>
    <w:p>
      <w:r>
        <w:t>Cover roles follow the supplied five-person allocation; no dates or school logo.</w:t>
      </w:r>
    </w:p>
    <w:p>
      <w:pPr>
        <w:pStyle w:val="Heading1"/>
      </w:pPr>
      <w:r>
        <w:t>02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2"/>
      </w:pPr>
      <w:r>
        <w:t>Source basis — not spoken</w:t>
      </w:r>
    </w:p>
    <w:p>
      <w:r>
        <w:t>P1: original project report §03 actual canopy geometry.</w:t>
      </w:r>
    </w:p>
    <w:p>
      <w:r>
        <w:t>Supplement 数据/00_结构参数与Rhino检查.json; original final-model mesh/centre-lines.</w:t>
      </w:r>
    </w:p>
    <w:p>
      <w:r>
        <w:t>research/supplemental-geometric-check.json: geometry derived from the supplied baseline mesh and support curves.</w:t>
      </w:r>
    </w:p>
    <w:p>
      <w:r>
        <w:t>Dimensions ≈6.22×6.66×3.48m; maximum projected span ≈6.91m; support endpoint-chord angles ≈45.9–50.7°. Model-derived descriptors, not measured site dimensions.</w:t>
      </w:r>
    </w:p>
    <w:p>
      <w:pPr>
        <w:pStyle w:val="Heading1"/>
      </w:pPr>
      <w:r>
        <w:t>03 | How the canopy can improve pedestrian comfort</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2"/>
      </w:pPr>
      <w:r>
        <w:t>Source basis — not spoken</w:t>
      </w:r>
    </w:p>
    <w:p>
      <w:r>
        <w:t>Original analysis report §02 支架—植物—降温作用逻辑, table 遮阴/辐射/蒸腾/空气流动.</w:t>
      </w:r>
    </w:p>
    <w:p>
      <w:r>
        <w:t>Original report: 没有把遮阴率换算为确定温降; no measured temperature/wind/Tmrt/UTCI results.</w:t>
      </w:r>
    </w:p>
    <w:p>
      <w:r>
        <w:t>Source: 植物遮阴减少人体和地面直接太阳暴露; 叶片水分蒸发涉及潜热交换，收益受供水、气孔和天气影响; 开敞侧界保留侧向通道. Arrows explain reported mechanisms, not simulated fields.</w:t>
      </w:r>
    </w:p>
    <w:p>
      <w:pPr>
        <w:pStyle w:val="Heading1"/>
      </w:pPr>
      <w:r>
        <w:t>04 | Assign materials to the roles they must perform</w:t>
      </w:r>
    </w:p>
    <w:p>
      <w:r>
        <w:t>中文提示：先讲材料分区与数量；这是材料方案，不是整体安全结论。</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The screening table shows the inputs; the next decision is how to use them.</w:t>
      </w:r>
    </w:p>
    <w:p>
      <w:r>
        <w:t>Q&amp;A: Does the exterior model contain the final wall thickness? No. The pipe exterior and proposed material section must be distinguished.</w:t>
      </w:r>
    </w:p>
    <w:p>
      <w:pPr>
        <w:pStyle w:val="Heading2"/>
      </w:pPr>
      <w:r>
        <w:t>Source basis — not spoken</w:t>
      </w:r>
    </w:p>
    <w:p>
      <w:r>
        <w:t>Cost-Analysis.xlsx / 材料比选!A17:G18; 几何与用量 section B.</w:t>
      </w:r>
    </w:p>
    <w:p>
      <w:r>
        <w:t>Cost-Analysis.xlsx / 规格与连接!A4:E5; 模块化建造分析!A3.</w:t>
      </w:r>
    </w:p>
    <w:p>
      <w:r>
        <w:t>Source split: 47 crown members, 219.28m, solid Ø80 bamboo; 12 ground-reaching steel Ø80×4 supports, 69.38m. Support text: 受压为主兼受风弯; crown text: 挠度在铰接下不满足L/200.</w:t>
      </w:r>
    </w:p>
    <w:p>
      <w:pPr>
        <w:pStyle w:val="Heading1"/>
      </w:pPr>
      <w:r>
        <w:t>05 | Read the material inputs before making the choice</w:t>
      </w:r>
    </w:p>
    <w:p>
      <w:r>
        <w:t>中文提示：表中单价是按相同全长比较材料输入，不是最终单元总价；材料常数仍为工作簿输入。</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These inputs motivate a hybrid strategy, with conditions attached.</w:t>
      </w:r>
    </w:p>
    <w:p>
      <w:r>
        <w:t>Q&amp;A: Are these all verified design values? No. They are workbook screening inputs, and the bamboo identity and properties must be confirmed consistently.</w:t>
      </w:r>
    </w:p>
    <w:p>
      <w:pPr>
        <w:pStyle w:val="Heading2"/>
      </w:pPr>
      <w:r>
        <w:t>Source basis — not spoken</w:t>
      </w:r>
    </w:p>
    <w:p>
      <w:r>
        <w:t>Cost-Analysis.xlsx / 材料比选!A6:O13, selected rows 6,7,11,12,13.</w:t>
      </w:r>
    </w:p>
    <w:p>
      <w:r>
        <w:t>Cost-Analysis.xlsx / 选型决策矩阵!A32:B34.</w:t>
      </w:r>
    </w:p>
    <w:p>
      <w:r>
        <w:t>Five displayed rows retain workbook inputs. Cost assumes all 288.66m use that row’s material; it is not the final hybrid unit cost. Durability and environmental scoring are workbook judgements, not verified product lifetimes.</w:t>
      </w:r>
    </w:p>
    <w:p>
      <w:pPr>
        <w:pStyle w:val="Heading1"/>
      </w:pPr>
      <w:r>
        <w:t>06 | Why steel supports and an engineered-bamboo crown?</w:t>
      </w:r>
    </w:p>
    <w:p>
      <w:r>
        <w:t>中文提示：按原工作簿解释钢支撑与竹冠面；别把竹材单项指标的优势说成整套造价更低。</w:t>
      </w:r>
    </w:p>
    <w:p>
      <w:r>
        <w:t>Takeaway: The material strategy follows structural roles and keeps feasibility conditions explicit.</w:t>
      </w:r>
    </w:p>
    <w:p>
      <w:r>
        <w:t>Spoken script: 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t>Transition: The next check shows why crown stiffness makes the joints important.</w:t>
      </w:r>
    </w:p>
    <w:p>
      <w:r>
        <w:t>Q&amp;A: Does the material screen establish a lower total unit cost? No. It compares equal-length member inputs. The separate unit budget includes nodes, installation and care. Low conductivity also does not establish a measured temperature benefit.</w:t>
      </w:r>
    </w:p>
    <w:p>
      <w:pPr>
        <w:pStyle w:val="Heading2"/>
      </w:pPr>
      <w:r>
        <w:t>Source basis — not spoken</w:t>
      </w:r>
    </w:p>
    <w:p>
      <w:r>
        <w:t>Cost-Analysis.xlsx / 材料比选!A17:G18, A23:H24.</w:t>
      </w:r>
    </w:p>
    <w:p>
      <w:r>
        <w:t>Cost-Analysis.xlsx / 挠度校核!A21:G23 and A46:B46.</w:t>
      </w:r>
    </w:p>
    <w:p>
      <w:r>
        <w:t>Cost-Analysis.xlsx / 选型决策矩阵!A2:B2 and A28:B34; 规格与连接!A4:E5; 模块化建造分析!A3.</w:t>
      </w:r>
    </w:p>
    <w:p>
      <w:r>
        <w:t>Workbook assigns steel to compression/wind-bending support role; tabulated EI steel145.2049 vs bamboo20.1062kN·m². Decision matrix requires feasibility gates in addition to scores. Row46 explicitly says 必须由结构同学出刚接节点详图并验算转动刚度 and the ≥3×simple-support assumption must hold. Five criteria follow the supplied rubric/workbook; no new performance result is claimed.</w:t>
      </w:r>
    </w:p>
    <w:p>
      <w:pPr>
        <w:pStyle w:val="Heading1"/>
      </w:pPr>
      <w:r>
        <w:t>07 | The beam check sets a requirement for the joint</w:t>
      </w:r>
    </w:p>
    <w:p>
      <w:r>
        <w:t>中文提示：先指33.25mm目标，再看两种理想边界；原表明确要求节点详图与转动刚度验算。</w:t>
      </w:r>
    </w:p>
    <w:p>
      <w:r>
        <w:t>Takeaway: The adopted target is numerically between two ideal beam results; node verification is explicitly required by the workbook.</w:t>
      </w:r>
    </w:p>
    <w:p>
      <w:r>
        <w:t>Spoken script: 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t>Transition: The proposed node also has a significant budget allowance.</w:t>
      </w:r>
    </w:p>
    <w:p>
      <w:r>
        <w:t>Q&amp;A: What must be verified next? Product stiffness, node moment–rotation behaviour, load transfer and the whole frame under relevant loads. The supplied workbook explicitly requires a node detail and rotational-stiffness verification.</w:t>
      </w:r>
    </w:p>
    <w:p>
      <w:pPr>
        <w:pStyle w:val="Heading2"/>
      </w:pPr>
      <w:r>
        <w:t>Source basis — not spoken</w:t>
      </w:r>
    </w:p>
    <w:p>
      <w:r>
        <w:t>Cost-Analysis.xlsx / 挠度校核!B6:B16, A21:G23, A31:J32, A46:B46.</w:t>
      </w:r>
    </w:p>
    <w:p>
      <w:r>
        <w:t>Cost-Analysis.xlsx / 模块化建造分析!A3.</w:t>
      </w:r>
    </w:p>
    <w:p>
      <w:r>
        <w:t>Same simplified 6.65m solidØ80 bamboo member; E10GPa, wet foliage18kg/m² inputs; deflections100.5333873/20.1066775mm. Adopted6650/200=33.25mm; ratios3.02356 and0.60471. Node plate/sleeve/grout/adhesive/bolts are proposed in source, not verified restraint.</w:t>
      </w:r>
    </w:p>
    <w:p>
      <w:pPr>
        <w:pStyle w:val="Heading1"/>
      </w:pPr>
      <w:r>
        <w:t>08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2"/>
      </w:pPr>
      <w:r>
        <w:t>Source basis — not spoken</w:t>
      </w:r>
    </w:p>
    <w:p>
      <w:r>
        <w:t>Cost-Analysis.xlsx / 造价明细, seven category totals and materials detail.</w:t>
      </w:r>
    </w:p>
    <w:p>
      <w:r>
        <w:t>Seven-category sum 51,675.7187099CNY; materials30,549.3022975CNY; 12 nodes×1,000CNY=12,000CNY. All displayed prices remain estimates; component rows are included in total.</w:t>
      </w:r>
    </w:p>
    <w:p>
      <w:pPr>
        <w:pStyle w:val="Heading1"/>
      </w:pPr>
      <w:r>
        <w:t>09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2"/>
      </w:pPr>
      <w:r>
        <w:t>Source basis — not spoken</w:t>
      </w:r>
    </w:p>
    <w:p>
      <w:r>
        <w:t>Cost-Analysis.xlsx / 材料比选 carbon summary, adopted hybrid row.</w:t>
      </w:r>
    </w:p>
    <w:p>
      <w:r>
        <w:t>Cost-Analysis.xlsx / 模块化建造分析 and original report maintenance/interface proposals.</w:t>
      </w:r>
    </w:p>
    <w:p>
      <w:r>
        <w:t>Adopted estimate: members1581.19629365 + base1088.64 + other150 =2819.83629365kgCO₂e; base38.61%. Factor boundaries not verified; no biogenic credit. Maintenance text follows protection/inspection proposals.</w:t>
      </w:r>
    </w:p>
    <w:p>
      <w:pPr>
        <w:pStyle w:val="Heading1"/>
      </w:pPr>
      <w:r>
        <w:t>10 | Keep the planting mix conditional on the site</w:t>
      </w:r>
    </w:p>
    <w:p>
      <w:r>
        <w:t>Takeaway: The 2+1 mix is a project proposal, not a verified choice for every city.</w:t>
      </w:r>
    </w:p>
    <w:p>
      <w:r>
        <w:t>Spoken script: The material schedule proposes two Boston ivy plants and one Rangoon creeper. Boston ivy is deciduous, so a summer canopy should not be presented as year-round cover. The source lists Rangoon creeper as a twining companion and trumpet creeper as an alternative. Local climate and attachment still need checking, as required by the analysis report. Guides, irrigation and pruning are part of the planting design.</w:t>
      </w:r>
    </w:p>
    <w:p>
      <w:r>
        <w:t>Transition: Next, the optical method used to evaluate shade.</w:t>
      </w:r>
    </w:p>
    <w:p>
      <w:r>
        <w:t>Q&amp;A: Is this mix suitable for every city? No. The analysis report requires checking local climate, climbing method, root space and maintenance.</w:t>
      </w:r>
    </w:p>
    <w:p>
      <w:pPr>
        <w:pStyle w:val="Heading2"/>
      </w:pPr>
      <w:r>
        <w:t>Source basis — not spoken</w:t>
      </w:r>
    </w:p>
    <w:p>
      <w:r>
        <w:t>Cost-Analysis.xlsx / 爬藤植物选择!A5:H7 and A14:B14.</w:t>
      </w:r>
    </w:p>
    <w:p>
      <w:r>
        <w:t>Cost-Analysis.xlsx / 模块化建造分析!A10:H10.</w:t>
      </w:r>
    </w:p>
    <w:p>
      <w:r>
        <w:t>Original analysis report §07 plant interface: 确认当地气候、攀附方式、根区、叶重、风荷载及落叶/落果维护.</w:t>
      </w:r>
    </w:p>
    <w:p>
      <w:r>
        <w:t>Source identifies Parthenocissus tricuspidata as main, Combretum indicum companion, Campsis grandiflora alternative; proposes2+1 plants,1.2m³ substrate and drip. Local suitability/attachment are checks, not new verified botanical claims.</w:t>
      </w:r>
    </w:p>
    <w:p>
      <w:pPr>
        <w:pStyle w:val="Heading1"/>
      </w:pPr>
      <w:r>
        <w:t>11 | Two shade metrics answer different questions</w:t>
      </w:r>
    </w:p>
    <w:p>
      <w:r>
        <w:t>中文提示：先分清两类指标，再读后面的百分比；不能混用、相加或换算摄氏度。</w:t>
      </w:r>
    </w:p>
    <w:p>
      <w:r>
        <w:t>Takeaway: Identify the metric and time window before interpreting any percentage.</w:t>
      </w:r>
    </w:p>
    <w:p>
      <w:r>
        <w:t>Spoken script: 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t>Transition: First, read the ideal daily result across the full time window.</w:t>
      </w:r>
    </w:p>
    <w:p>
      <w:r>
        <w:t>Q&amp;A: What is the second formula? Aeq = Abare + (1 − τ)(Aleaf − Aoverlap), then divide by the target area. It is equivalent direct-beam blockage under the stated optical assumptions, not total solar-energy attenuation.</w:t>
      </w:r>
    </w:p>
    <w:p>
      <w:pPr>
        <w:pStyle w:val="Heading2"/>
      </w:pPr>
      <w:r>
        <w:t>Source basis — not spoken</w:t>
      </w:r>
    </w:p>
    <w:p>
      <w:r>
        <w:t>Original project report and 分析参数与汇总.json: ideal continuous-leaf projection.</w:t>
      </w:r>
    </w:p>
    <w:p>
      <w:r>
        <w:t>Supplement D_Structure_and_Plant_Cover_Simulation.docx, §01–02; 数据/模拟参数与汇总.json.</w:t>
      </w:r>
    </w:p>
    <w:p>
      <w:r>
        <w:t>Supplement formula Aeq=Abare+(1−tau)(Aleaf−Aoverlap), tau=.15 assumed; same5×5m target excludingr.75m. Ideal leaf-envelope overlap and equivalent direct-beam blockage have different definitions; neither is temperature or total solar attenuation.</w:t>
      </w:r>
    </w:p>
    <w:p>
      <w:pPr>
        <w:pStyle w:val="Heading1"/>
      </w:pPr>
      <w:r>
        <w:t>12 | A noon peak does not ensure all-day shade</w:t>
      </w:r>
    </w:p>
    <w:p>
      <w:r>
        <w:t>中文提示：正午98.7%不能代表整段使用时间；时段与座椅位置要一起考虑。</w:t>
      </w:r>
    </w:p>
    <w:p>
      <w:r>
        <w:t>Takeaway: Read the footprint and the whole time window, not only the noon peak.</w:t>
      </w:r>
    </w:p>
    <w:p>
      <w:r>
        <w:t>Spoken script: The solstice footprint overlaps about forty-seven percent of the target at nine and fifteen solar time, and almost ninety-nine percent at noon. The curve adds the intervening hours and an equinox solar case. Their means are about seventy-five and fifty percent. The noon peak therefore cannot stand for the whole use period: morning and afternoon exposure must be checked when placing seating. The equinox comparison changes solar conditions, not plant leaf cover.</w:t>
      </w:r>
    </w:p>
    <w:p>
      <w:r>
        <w:t>Transition: We then change one geometric control at a time.</w:t>
      </w:r>
    </w:p>
    <w:p>
      <w:r>
        <w:t>Q&amp;A: Does winter use the equinox result? No. Winter solar conditions and plant leaf states would need their own inputs.</w:t>
      </w:r>
    </w:p>
    <w:p>
      <w:pPr>
        <w:pStyle w:val="Heading2"/>
      </w:pPr>
      <w:r>
        <w:t>Source basis — not spoken</w:t>
      </w:r>
    </w:p>
    <w:p>
      <w:r>
        <w:t>Original 04_图表与计算数据/01_原参数_C_D_典型时刻遮阴.csv and 02_原参数_C_D_15分钟遮阴曲线.csv, final-model rows.</w:t>
      </w:r>
    </w:p>
    <w:p>
      <w:r>
        <w:t>Original report §结论与依据; §07 application and §08 evaluation.</w:t>
      </w:r>
    </w:p>
    <w:p>
      <w:r>
        <w:t>09/12/15 solstice overlap47.2/98.7/47.2%; 09–15 means75.3% solstice and49.8% equinox. Source advises seating by use time and reporting weakest periods; noon peak cannot describe the whole window.</w:t>
      </w:r>
    </w:p>
    <w:p>
      <w:pPr>
        <w:pStyle w:val="Heading1"/>
      </w:pPr>
      <w:r>
        <w:t>13 | Expanding the crown raises mean blockage: 52.3% → 66.1%</w:t>
      </w:r>
    </w:p>
    <w:p>
      <w:r>
        <w:t>中文提示：只说原CSV给出的参数情景结果；同覆盖比例不等于相同种植面积和材料投入。</w:t>
      </w:r>
    </w:p>
    <w:p>
      <w:r>
        <w:t>Takeaway: The crown-width result is part of a broader seven-model parameter study.</w:t>
      </w:r>
    </w:p>
    <w:p>
      <w:r>
        <w:t>Spoken script: 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2"/>
      </w:pPr>
      <w:r>
        <w:t>Source basis — not spoken</w:t>
      </w:r>
    </w:p>
    <w:p>
      <w:r>
        <w:t>Supplement 数据/02_参数与生长覆盖_汇总.csv: Solstice, cover=.5, seven cases.</w:t>
      </w:r>
    </w:p>
    <w:p>
      <w:r>
        <w:t>Supplement 数据/00_结构参数与Rhino检查.json and report §01–02.</w:t>
      </w:r>
    </w:p>
    <w:p>
      <w:r>
        <w:t>Expansion52.2795–66.1435%; height57.7692–62.6491%; corner59.0899–61.7752% (rounded). Largest tested max–min spread is expansion; this does not compare sensitivities per unit change. Source: a larger crown at equal cover percentage also requires more planted area; equal percentage does not imply equal material or plant inputs.</w:t>
      </w:r>
    </w:p>
    <w:p>
      <w:pPr>
        <w:pStyle w:val="Heading1"/>
      </w:pPr>
      <w:r>
        <w:t>14 | Coverage amount alone does not determine useful shade</w:t>
      </w:r>
    </w:p>
    <w:p>
      <w:r>
        <w:t>中文提示：80到95覆盖增加2.8个百分点是时段均值；相同50%分布比较是正午值，别混成同一组。</w:t>
      </w:r>
    </w:p>
    <w:p>
      <w:r>
        <w:t>Takeaway: The package tests both cover quantity and where that cover is placed.</w:t>
      </w:r>
    </w:p>
    <w:p>
      <w:r>
        <w:t>Spoken script: 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t>Transition: We connect that moving footprint to public use.</w:t>
      </w:r>
    </w:p>
    <w:p>
      <w:r>
        <w:t>Q&amp;A: Why is 95% cover not 95% blockage? Target intersection, frame overlap, leaf placement and transmittance all affect the metric.</w:t>
      </w:r>
    </w:p>
    <w:p>
      <w:pPr>
        <w:pStyle w:val="Heading2"/>
      </w:pPr>
      <w:r>
        <w:t>Source basis — not spoken</w:t>
      </w:r>
    </w:p>
    <w:p>
      <w:r>
        <w:t>Supplement 数据/02_参数与生长覆盖_汇总.csv: baseline Solstice cover0/.2/.5/.8/.95.</w:t>
      </w:r>
    </w:p>
    <w:p>
      <w:r>
        <w:t>Supplement 数据/05_相同50覆盖_分布敏感性.csv: cover=.5, solar time12.</w:t>
      </w:r>
    </w:p>
    <w:p>
      <w:r>
        <w:t>Supplement report §02: compare seat locations during occupied hours; same-cover spatial placement matters.</w:t>
      </w:r>
    </w:p>
    <w:p>
      <w:r>
        <w:t>Mean blockage40.2187/48.6371/60.1972/67.9113/70.6955%;80→95 cover gives70.69545−67.91127=2.78418percentage points≈2.8pp. Noon patterns inner_spreading/dispersed/outer_first give77.4671/71.3662/62.6164%. These are distinct comparisons, not growth-time predictions.</w:t>
      </w:r>
    </w:p>
    <w:p>
      <w:pPr>
        <w:pStyle w:val="Heading1"/>
      </w:pPr>
      <w:r>
        <w:t>15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2"/>
      </w:pPr>
      <w:r>
        <w:t>Source basis — not spoken</w:t>
      </w:r>
    </w:p>
    <w:p>
      <w:r>
        <w:t>Original report §07 application scenarios and §08 evaluation/validation.</w:t>
      </w:r>
    </w:p>
    <w:p>
      <w:r>
        <w:t>Supplement report §02; fixed-cover daytime-shadow GIF and related CSV.</w:t>
      </w:r>
    </w:p>
    <w:p>
      <w:r>
        <w:t>Source: compare seating during occupied hours; allow root/water/maintenance/circulation; measure shaded/unshaded environmental variables. No actual-street or measured-comfort result supplied.</w:t>
      </w:r>
    </w:p>
    <w:p>
      <w:pPr>
        <w:pStyle w:val="Heading1"/>
      </w:pPr>
      <w:r>
        <w:t>16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2"/>
      </w:pPr>
      <w:r>
        <w:t>Source basis — not spoken</w:t>
      </w:r>
    </w:p>
    <w:p>
      <w:r>
        <w:t>Cost-Analysis.xlsx / 模块化建造分析!A3:H10 and labour/assembly sections.</w:t>
      </w:r>
    </w:p>
    <w:p>
      <w:r>
        <w:t>Cost-Analysis.xlsx / 造价明细 labour and counterweight entries.</w:t>
      </w:r>
    </w:p>
    <w:p>
      <w:r>
        <w:t>Source modules: crown/supports/nodes/base/planting; grouting requires curing and changes reversibility. Base9072kg and labour14person-days are source estimates, not certified foundation or calendar programme.</w:t>
      </w:r>
    </w:p>
    <w:p>
      <w:pPr>
        <w:pStyle w:val="Heading1"/>
      </w:pPr>
      <w:r>
        <w:t>17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2"/>
      </w:pPr>
      <w:r>
        <w:t>Source basis — not spoken</w:t>
      </w:r>
    </w:p>
    <w:p>
      <w:r>
        <w:t>P1 supplied Rhino/GH model; P3 workbook; P2/P5 analysis reports and datasets.</w:t>
      </w:r>
    </w:p>
    <w:p>
      <w:r>
        <w:t>Supplement 数据/01_参数与生长覆盖_时段结果.csv and native-model checks.</w:t>
      </w:r>
    </w:p>
    <w:p>
      <w:r>
        <w:t>Work summary traces three supplied streams; seven parameter cases, five cover states and1750main result rows. Remaining checks reflect explicitly assumed inputs and unverified nodes/site conditions.</w:t>
      </w:r>
    </w:p>
    <w:p>
      <w:pPr>
        <w:pStyle w:val="Heading1"/>
      </w:pPr>
      <w:r>
        <w:t>18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p>
      <w:pPr>
        <w:pStyle w:val="Heading2"/>
      </w:pPr>
      <w:r>
        <w:t>Source basis — not spoken</w:t>
      </w:r>
    </w:p>
    <w:p>
      <w:r>
        <w:t>Original analysis report bibliography entries for Watanabe etal2014, Hoelscher etal2016, NOAA and UTCI.</w:t>
      </w:r>
    </w:p>
    <w:p>
      <w:r>
        <w:t>User-provided project files P1–P5.</w:t>
      </w:r>
    </w:p>
    <w:p>
      <w:r>
        <w:t>Bibliographic leads were supplied by the project; original-source checks remain pending. No DOI or new literature conclusion is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