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VineWeave Canopy — Presenter Guide V3</w:t>
      </w:r>
    </w:p>
    <w:p>
      <w:r>
        <w:t>1100 spoken English words including transitions on slides 1–18. At 120–135 words/minute, continuous speech is about 8.1–9.2 minutes before figure pauses and slide changes. Rehearse toward 9 minutes, leaving question time within the 10–12 minute total. Timing is not yet validated by rehearsal.</w:t>
      </w:r>
    </w:p>
    <w:p>
      <w:pPr>
        <w:pStyle w:val="Heading1"/>
      </w:pPr>
      <w:r>
        <w:t>01 | VineWeave Canopy</w:t>
      </w:r>
    </w:p>
    <w:p>
      <w:r>
        <w:t>中文提示：先突出项目标题与研究内容，底部五人分工简要带过。</w:t>
      </w:r>
    </w:p>
    <w:p>
      <w:r>
        <w:t>Takeaway: Introduce the project before the team credits.</w:t>
      </w:r>
    </w:p>
    <w:p>
      <w:r>
        <w:t>VineWeave Canopy combines climbing plants with a tree-like support to provide pedestrian shade. Our group connects parametric geometry, material and construction choices, and shading analysis. The names below identify our responsibilities. We will explain both the design decisions and the evidence supporting them.</w:t>
      </w:r>
    </w:p>
    <w:p>
      <w:r>
        <w:t>Transition: First, the design brief.</w:t>
      </w:r>
    </w:p>
    <w:p>
      <w:r>
        <w:t>Q&amp;A: Where are the full roles? The cover retains the core allocation; the planning document records the complete supplied descriptions.</w:t>
      </w:r>
    </w:p>
    <w:p>
      <w:pPr>
        <w:pStyle w:val="Heading1"/>
      </w:pPr>
      <w:r>
        <w:t>02 | Translate the brief into five design decisions</w:t>
      </w:r>
    </w:p>
    <w:p>
      <w:r>
        <w:t>中文提示：把课程的五项要求与团队实际交付对应起来，不逐格读表。</w:t>
      </w:r>
    </w:p>
    <w:p>
      <w:r>
        <w:t>Takeaway: Each course requirement is linked to a visible design response and a work product.</w:t>
      </w:r>
    </w:p>
    <w:p>
      <w:r>
        <w:t>The brief asks for more than a tree-like form. We connect materials, geometry, environmental performance, planting and assembly. This table shows the response and the work produced for each requirement. Shade has been calculated under explicit assumptions; airflow and real thermal comfort remain design and validation questions.</w:t>
      </w:r>
    </w:p>
    <w:p>
      <w:r>
        <w:t>Transition: Next, the geometry and drawing definitions.</w:t>
      </w:r>
    </w:p>
    <w:p>
      <w:r>
        <w:t>Q&amp;A: Does every row have an experiment? No. We distinguish model outputs, calculated scenarios, preliminary estimates and design proposals.</w:t>
      </w:r>
    </w:p>
    <w:p>
      <w:pPr>
        <w:pStyle w:val="Heading1"/>
      </w:pPr>
      <w:r>
        <w:t>03 | Define the final geometry—and how it is measured</w:t>
      </w:r>
    </w:p>
    <w:p>
      <w:r>
        <w:t>中文提示：先读平立面尺寸，再说明最大水平跨度与曲杆端点弦倾角的定义；独立图纸有角度示意。</w:t>
      </w:r>
    </w:p>
    <w:p>
      <w:r>
        <w:t>Takeaway: Final dimensions need explicit definitions and readable technical views.</w:t>
      </w:r>
    </w:p>
    <w:p>
      <w:r>
        <w:t>The final geometry has an overall height of about three point four eight metres and a plan extent of six point two two by six point six six metres. Its approximate maximum horizontal exterior span is six point nine one metres. For these curved supports, inclination is defined by the endpoint chord above horizontal. The accompanying drawing sheets explain that definition and the measured range.</w:t>
      </w:r>
    </w:p>
    <w:p>
      <w:r>
        <w:t>Transition: Next, link those features to environmental potential.</w:t>
      </w:r>
    </w:p>
    <w:p>
      <w:r>
        <w:t>Q&amp;A: Is 6.91 metres a circular diameter? No. It is the maximum pair distance in the projected exterior mesh, not a foliage diameter or net usable width.</w:t>
      </w:r>
    </w:p>
    <w:p>
      <w:pPr>
        <w:pStyle w:val="Heading1"/>
      </w:pPr>
      <w:r>
        <w:t>04 | Connect structural features to cooling potential</w:t>
      </w:r>
    </w:p>
    <w:p>
      <w:r>
        <w:t>中文提示：逐行连接特征、机制、收益与证据；遮阴是计算，通风是定性权衡，蒸腾是有条件机制。</w:t>
      </w:r>
    </w:p>
    <w:p>
      <w:r>
        <w:t>Takeaway: The required logic links a structural feature to a physical process without overstating the evidence.</w:t>
      </w:r>
    </w:p>
    <w:p>
      <w:r>
        <w:t>The table makes the design logic explicit. Crown geometry and foliage intercept direct sun, while cover placement changes transmission and overlap. Open sides retain potential airflow paths, but dense foliage can resist flow. Plant water exchange is another conditional mechanism. We have calculated shade scenarios; we have not measured a temperature reduction or simulated wind.</w:t>
      </w:r>
    </w:p>
    <w:p>
      <w:r>
        <w:t>Transition: Material assignment follows the structural roles.</w:t>
      </w:r>
    </w:p>
    <w:p>
      <w:r>
        <w:t>Q&amp;A: Does the opening prove a chimney effect? No. It is a geometric feature and design hypothesis, not a verified airflow result.</w:t>
      </w:r>
    </w:p>
    <w:p>
      <w:pPr>
        <w:pStyle w:val="Heading1"/>
      </w:pPr>
      <w:r>
        <w:t>05 | Separate the support role from the crown role</w:t>
      </w:r>
    </w:p>
    <w:p>
      <w:r>
        <w:t>中文提示：先看两色模型，再读12/47数量、截面、长度和总量。</w:t>
      </w:r>
    </w:p>
    <w:p>
      <w:r>
        <w:t>Takeaway: The quantity schedule links a clear material role to a specific part of the model.</w:t>
      </w:r>
    </w:p>
    <w:p>
      <w:r>
        <w:t>The take-off gives twelve ground-reaching supports and forty-seven crown members, with a total centre-line length of two hundred and eighty-eight point six six metres. We propose an eighty-by-four millimetre steel tube for supports and solid engineered bamboo for the crown. This is a material strategy, not proof that either zone is safe.</w:t>
      </w:r>
    </w:p>
    <w:p>
      <w:r>
        <w:t>Transition: Next, the material-screening criteria.</w:t>
      </w:r>
    </w:p>
    <w:p>
      <w:r>
        <w:t>Q&amp;A: Does the exterior model contain the final wall thickness? No. The pipe exterior and proposed material section must be distinguished.</w:t>
      </w:r>
    </w:p>
    <w:p>
      <w:pPr>
        <w:pStyle w:val="Heading1"/>
      </w:pPr>
      <w:r>
        <w:t>06 | Five criteria guide the material selection</w:t>
      </w:r>
    </w:p>
    <w:p>
      <w:r>
        <w:t>中文提示：表中全长材料费不是最终单元造价；补充耐久、环境适应性理由，强调工程竹产品参数待核。</w:t>
      </w:r>
    </w:p>
    <w:p>
      <w:r>
        <w:t>Takeaway: Material screening includes mechanical and practical conditions, not only carbon.</w:t>
      </w:r>
    </w:p>
    <w:p>
      <w:r>
        <w:t>These are preliminary screening inputs. Each cost column assumes the same full member length; it is not the adopted unit budget. Steel offers much greater nominal bending capacity. Engineered bamboo is proposed for the crown, but stiffness, treatment and product-specific evidence are essential. Raw bamboo’s low reference cost does not remove its variability and maintenance issues.</w:t>
      </w:r>
    </w:p>
    <w:p>
      <w:r>
        <w:t>Transition: Crown stiffness leads directly to the connection question.</w:t>
      </w:r>
    </w:p>
    <w:p>
      <w:r>
        <w:t>Q&amp;A: Are these all verified design values? No. They are workbook screening inputs, and the bamboo identity and properties must be confirmed consistently.</w:t>
      </w:r>
    </w:p>
    <w:p>
      <w:pPr>
        <w:pStyle w:val="Heading1"/>
      </w:pPr>
      <w:r>
        <w:t>07 | The crown is stiffness-sensitive: joints matter</w:t>
      </w:r>
    </w:p>
    <w:p>
      <w:r>
        <w:t>中文提示：先说假定荷载，再看两种边界和挠度；拟议节点不是已通过的节点。</w:t>
      </w:r>
    </w:p>
    <w:p>
      <w:r>
        <w:t>Takeaway: Ideal fixed-end behaviour is a requirement to investigate, not an achieved joint property.</w:t>
      </w:r>
    </w:p>
    <w:p>
      <w:r>
        <w:t>The workbook applies self-weight and an assumed wet-foliage load. At the six point six five metre span, the simplified deflection changes from about one hundred millimetres under simple supports to twenty under ideal fixed ends. The adopted limit is thirty-three point two five millimetres. Actual joint and whole-frame stiffness still require verification.</w:t>
      </w:r>
    </w:p>
    <w:p>
      <w:r>
        <w:t>Transition: Connection complexity also affects the budget.</w:t>
      </w:r>
    </w:p>
    <w:p>
      <w:r>
        <w:t>Q&amp;A: Do twelve nodes fix every crown member? That has not been demonstrated. Joint rotation and global load transfer still require modelling or testing.</w:t>
      </w:r>
    </w:p>
    <w:p>
      <w:pPr>
        <w:pStyle w:val="Heading1"/>
      </w:pPr>
      <w:r>
        <w:t>08 | The unit budget includes fabrication, installation and care</w:t>
      </w:r>
    </w:p>
    <w:p>
      <w:r>
        <w:t>中文提示：先讲总价与59.1%，再解释右表是材料分项，避免重复相加。</w:t>
      </w:r>
    </w:p>
    <w:p>
      <w:r>
        <w:t>Takeaway: The budget makes the node trade-off visible.</w:t>
      </w:r>
    </w:p>
    <w:p>
      <w:r>
        <w:t>The preliminary total is approximately fifty-one thousand six hundred and seventy-six yuan. Materials are fifty-nine percent of this total; the other categories include fabrication, installation and care. Within materials, twelve proposed nodes account for twelve thousand yuan, more than the primary steel members. The component table is only part of the overall cost, not an additional total.</w:t>
      </w:r>
    </w:p>
    <w:p>
      <w:r>
        <w:t>Transition: Next, the carbon and maintenance picture.</w:t>
      </w:r>
    </w:p>
    <w:p>
      <w:r>
        <w:t>Q&amp;A: Are the node prices confirmed? No. They are the most uncertain allowance and need a defined detail and supplier quotation.</w:t>
      </w:r>
    </w:p>
    <w:p>
      <w:pPr>
        <w:pStyle w:val="Heading1"/>
      </w:pPr>
      <w:r>
        <w:t>09 | Account for the members, base and maintenance needs</w:t>
      </w:r>
    </w:p>
    <w:p>
      <w:r>
        <w:t>中文提示：先讲主体与配重，解释39%配重和三类维护责任；不声称生命周期已核准。</w:t>
      </w:r>
    </w:p>
    <w:p>
      <w:r>
        <w:t>Takeaway: The estimate helps identify contributors and care responsibilities.</w:t>
      </w:r>
    </w:p>
    <w:p>
      <w:r>
        <w:t>The primary members and counterweight dominate the current carbon estimate. The counterweight contributes about thirty-nine percent, so foundation decisions also matter. We show the adopted estimate rather than claiming a verified life-cycle result. Outdoor performance also needs coating care, bamboo treatment and connection inspection. Product factors and the allowance for actual node materials still require checking.</w:t>
      </w:r>
    </w:p>
    <w:p>
      <w:r>
        <w:t>Transition: Plant choice adds another set of requirements.</w:t>
      </w:r>
    </w:p>
    <w:p>
      <w:r>
        <w:t>Q&amp;A: Is stored biological carbon deducted? No. It is not credited in this estimate, and factor boundaries are not yet fully aligned.</w:t>
      </w:r>
    </w:p>
    <w:p>
      <w:pPr>
        <w:pStyle w:val="Heading1"/>
      </w:pPr>
      <w:r>
        <w:t>10 | Select climbers for support, season and maintenance</w:t>
      </w:r>
    </w:p>
    <w:p>
      <w:r>
        <w:t>中文提示：明确原材料的2株爬山虎＋1株使君子组合、凌霄备选及本地适生检查。</w:t>
      </w:r>
    </w:p>
    <w:p>
      <w:r>
        <w:t>Takeaway: The proposal has a specific planting mix and a screening logic.</w:t>
      </w:r>
    </w:p>
    <w:p>
      <w:r>
        <w:t>The source screen considered eight climbers. It proposes Boston ivy as the primary plant, Rangoon creeper as a companion, and trumpet creeper as an alternative. The unit allowance is two ivy plants, one creeper, substrate and drip irrigation. The mix remains subject to local suitability and attachment checks.</w:t>
      </w:r>
    </w:p>
    <w:p>
      <w:r>
        <w:t>Transition: Plant choice raises the question of when shade becomes available.</w:t>
      </w:r>
    </w:p>
    <w:p>
      <w:r>
        <w:t>Q&amp;A: Is Rangoon creeper confirmed for the site? No. Climate, winter survival and leaf habit must be checked before adopting the mix.</w:t>
      </w:r>
    </w:p>
    <w:p>
      <w:pPr>
        <w:pStyle w:val="Heading1"/>
      </w:pPr>
      <w:r>
        <w:t>11 | Opening the structure is not the same as a mature canopy</w:t>
      </w:r>
    </w:p>
    <w:p>
      <w:r>
        <w:t>中文提示：结构开放与植被性能就绪不同；没有生长月数证据，不承诺几年成冠。</w:t>
      </w:r>
    </w:p>
    <w:p>
      <w:r>
        <w:t>Takeaway: The new timeline clarifies what is known and what is still missing.</w:t>
      </w:r>
    </w:p>
    <w:p>
      <w:r>
        <w:t>There are two readiness gates. The structure can open only after the required acceptance conditions, while vegetation must reach an agreed shade target during occupied hours. The provided cover scenarios have no growth durations. We therefore show the sequence without invented months or years. Nursery starting size, species, climate and maintenance data are needed to estimate when the target can be met.</w:t>
      </w:r>
    </w:p>
    <w:p>
      <w:r>
        <w:t>Transition: We next separate the environmental mechanisms.</w:t>
      </w:r>
    </w:p>
    <w:p>
      <w:r>
        <w:t>Q&amp;A: How long until full use? The current evidence does not support a month estimate. Structural acceptance and vegetation shade readiness must be assessed separately.</w:t>
      </w:r>
    </w:p>
    <w:p>
      <w:pPr>
        <w:pStyle w:val="Heading1"/>
      </w:pPr>
      <w:r>
        <w:t>12 | Project shade onto one fixed reference zone</w:t>
      </w:r>
    </w:p>
    <w:p>
      <w:r>
        <w:t>中文提示：先走计算流程，再明确两种指标；同一个参考区、不同的物理含义。</w:t>
      </w:r>
    </w:p>
    <w:p>
      <w:r>
        <w:t>Takeaway: One calculation isolates leaf-envelope geometry; the other includes frame and optical effects.</w:t>
      </w:r>
    </w:p>
    <w:p>
      <w:r>
        <w:t>We project the geometry along the solar direction and intersect it with the same target. The fixed target excludes a central disk. Ideal overlap uses a continuous leaf envelope. Equivalent blockage includes opaque frame shadows and assumed leaf transmittance, with overlap deducted. The two metrics are different, and neither is a temperature change.</w:t>
      </w:r>
    </w:p>
    <w:p>
      <w:r>
        <w:t>Transition: First, the ideal time-dependent result.</w:t>
      </w:r>
    </w:p>
    <w:p>
      <w:r>
        <w:t>Q&amp;A: Was numerical resolution checked? The supplied package includes raster spot checks; five versus two-point-five millimetre results differ by up to about 1.06 percentage points in those samples, not as an overall error bound.</w:t>
      </w:r>
    </w:p>
    <w:p>
      <w:pPr>
        <w:pStyle w:val="Heading1"/>
      </w:pPr>
      <w:r>
        <w:t>13 | The shadow position and solar season both matter</w:t>
      </w:r>
    </w:p>
    <w:p>
      <w:r>
        <w:t>中文提示：三时刻图与时段曲线结合；春秋分是太阳条件，不是植物季节生长。</w:t>
      </w:r>
    </w:p>
    <w:p>
      <w:r>
        <w:t>Takeaway: Read the footprint and the whole time window, not only the noon peak.</w:t>
      </w:r>
    </w:p>
    <w:p>
      <w:r>
        <w:t>The solstice footprint overlaps about forty-seven percent of the target at nine and fifteen solar time, and almost ninety-nine percent at noon. The curve adds the intervening hours and an equinox solar case. Their means are about seventy-five and fifty percent. This is a comparison of solar conditions under hypothetical foliage, not a seasonal growth forecast.</w:t>
      </w:r>
    </w:p>
    <w:p>
      <w:r>
        <w:t>Transition: We then change one geometric control at a time.</w:t>
      </w:r>
    </w:p>
    <w:p>
      <w:r>
        <w:t>Q&amp;A: Does winter use the equinox result? No. Winter solar conditions and plant leaf states would need their own inputs.</w:t>
      </w:r>
    </w:p>
    <w:p>
      <w:pPr>
        <w:pStyle w:val="Heading1"/>
      </w:pPr>
      <w:r>
        <w:t>14 | Seven models test three geometry controls</w:t>
      </w:r>
    </w:p>
    <w:p>
      <w:r>
        <w:t>中文提示：说明7模型研究了3类控制，重点解读冠幅；相同覆盖不等于相同投入。</w:t>
      </w:r>
    </w:p>
    <w:p>
      <w:r>
        <w:t>Takeaway: The crown-width result is part of a broader seven-model parameter study.</w:t>
      </w:r>
    </w:p>
    <w:p>
      <w:r>
        <w:t>The work includes width, upper-height control and corner factor, with a shared baseline. At fifty percent cover, mean blockage rises from fifty-two point three to sixty-six point one percent as the crown expands. The table records the other controls too. These are controlled shade comparisons, not proof of an optimum or of structural safety after changing geometry.</w:t>
      </w:r>
    </w:p>
    <w:p>
      <w:r>
        <w:t>Transition: Next, keep the structure fixed and change foliage.</w:t>
      </w:r>
    </w:p>
    <w:p>
      <w:r>
        <w:t>Q&amp;A: Does the height control shift the whole model by 0.4 metres? No. It is smoothly weighted; actual maximum heights must be read from the geometry records.</w:t>
      </w:r>
    </w:p>
    <w:p>
      <w:pPr>
        <w:pStyle w:val="Heading1"/>
      </w:pPr>
      <w:r>
        <w:t>15 | Coverage amount alone does not determine useful shade</w:t>
      </w:r>
    </w:p>
    <w:p>
      <w:r>
        <w:t>中文提示：先看5档覆盖，再看同50%覆盖的空间布局差异；所有阶段无生物时间。</w:t>
      </w:r>
    </w:p>
    <w:p>
      <w:r>
        <w:t>Takeaway: The package tests both cover quantity and where that cover is placed.</w:t>
      </w:r>
    </w:p>
    <w:p>
      <w:r>
        <w:t>The five plan-cover states give mean blockage of about forty, forty-nine, sixty, sixty-eight and seventy-one percent. Bare members already provide shade at zero leaf cover. At the same fifty percent cover, three spatial layouts also produce different noon results. Coverage percentage therefore does not describe where useful shade falls, and the stages do not predict biological growth duration.</w:t>
      </w:r>
    </w:p>
    <w:p>
      <w:r>
        <w:t>Transition: We connect that moving footprint to public use.</w:t>
      </w:r>
    </w:p>
    <w:p>
      <w:r>
        <w:t>Q&amp;A: Why is 95% cover not 95% blockage? Target intersection, frame overlap, leaf placement and transmittance all affect the metric.</w:t>
      </w:r>
    </w:p>
    <w:p>
      <w:pPr>
        <w:pStyle w:val="Heading1"/>
      </w:pPr>
      <w:r>
        <w:t>16 | Put occupied-hour shade into the layout decision</w:t>
      </w:r>
    </w:p>
    <w:p>
      <w:r>
        <w:t>中文提示：按使用时段布座椅，并扣清配重、根区、通行与维护；此图非实际街景。</w:t>
      </w:r>
    </w:p>
    <w:p>
      <w:r>
        <w:t>Takeaway: A practical layout must use the real occupied area, not only a reference square.</w:t>
      </w:r>
    </w:p>
    <w:p>
      <w:r>
        <w:t>The animation holds cover fixed while the sun moves. Seating should be checked during occupied hours, with room for circulation, the counterweight, roots and maintenance. The next verification step is a real-site assessment with simultaneous shaded and unshaded environmental observations. The current analysis does not establish net usable shaded floor area or a measured comfort improvement.</w:t>
      </w:r>
    </w:p>
    <w:p>
      <w:r>
        <w:t>Transition: The last design link is construction organisation.</w:t>
      </w:r>
    </w:p>
    <w:p>
      <w:r>
        <w:t>Q&amp;A: Are sensors a new project module here? No. This is the existing validation proposal, not a new monitoring-system design.</w:t>
      </w:r>
    </w:p>
    <w:p>
      <w:pPr>
        <w:pStyle w:val="Heading1"/>
      </w:pPr>
      <w:r>
        <w:t>17 | Coordinate prefabricated modules and site interfaces</w:t>
      </w:r>
    </w:p>
    <w:p>
      <w:r>
        <w:t>中文提示：模块表对应5阶段施工；14人工日不是工期，配重吊装与灌浆养护有约束。</w:t>
      </w:r>
    </w:p>
    <w:p>
      <w:r>
        <w:t>Takeaway: The assembly work is more specific than a generic prefabrication claim.</w:t>
      </w:r>
    </w:p>
    <w:p>
      <w:r>
        <w:t>The proposal divides the system into crown members, supports, connections, base and planting. Numbering and preassembly help site organisation. However, the heavy counterweight governs lifting, and the sleeve-and-grout node requires curing and checks. The fourteen-person-day allowance is labour, not a calendar programme. A fully dry, losslessly reversible system should not be claimed.</w:t>
      </w:r>
    </w:p>
    <w:p>
      <w:r>
        <w:t>Transition: Finally, our delivered work and its next checks.</w:t>
      </w:r>
    </w:p>
    <w:p>
      <w:r>
        <w:t>Q&amp;A: Is the node a finished construction detail? No. Its geometry, stiffness, fabrication and quality controls need to be resolved together.</w:t>
      </w:r>
    </w:p>
    <w:p>
      <w:pPr>
        <w:pStyle w:val="Heading1"/>
      </w:pPr>
      <w:r>
        <w:t>18 | Connect geometry, construction and useful shade</w:t>
      </w:r>
    </w:p>
    <w:p>
      <w:r>
        <w:t>中文提示：总结三条团队交付链，再说最关键的产品、节点、生长和场地补证。</w:t>
      </w:r>
    </w:p>
    <w:p>
      <w:r>
        <w:t>Takeaway: The contribution is a connected body of design work with a clear evidence boundary.</w:t>
      </w:r>
    </w:p>
    <w:p>
      <w:r>
        <w:t>The group delivers a parametric form and take-off, a proposed material and build-up strategy, and reproducible shade scenarios. The supplement adds seven parameter models, five cover states and seventeen hundred and fifty time-step results. These outputs make the design decisions traceable. Product data, joint behaviour, biological establishment and real-site performance are the next checks. Thank you.</w:t>
      </w:r>
    </w:p>
    <w:p>
      <w:r>
        <w:t>Transition: We welcome your questions.</w:t>
      </w:r>
    </w:p>
    <w:p>
      <w:r>
        <w:t>Q&amp;A: What can be stated most confidently? The defined project geometry and the calculated shade scenarios under their explicit assumptions.</w:t>
      </w:r>
    </w:p>
    <w:p>
      <w:pPr>
        <w:pStyle w:val="Heading1"/>
      </w:pPr>
      <w:r>
        <w:t>19 | References and project evidence</w:t>
      </w:r>
    </w:p>
    <w:p>
      <w:r>
        <w:t>中文提示：参考备份页，按提问定位来源，不按计划逐条朗读。</w:t>
      </w:r>
    </w:p>
    <w:p>
      <w:r>
        <w:t>Takeaway: Source labels let the audience distinguish literature, project calculations and proposals.</w:t>
      </w:r>
    </w:p>
    <w:p>
      <w:r>
        <w:t>This is a reference and question page, not part of the planned spoken sequence. It identifies the literature leads and project evidence. Specific product parameters and standards still require original-source checks.</w:t>
      </w:r>
    </w:p>
    <w:p>
      <w:r>
        <w:t>Transition: Return to the relevant result slide during questions.</w:t>
      </w:r>
    </w:p>
    <w:p>
      <w:r>
        <w:t>Q&amp;A: Why are some data preliminary? The supplied package contains assumptions and estimates that have not all been traced to product-specific or primary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