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 w:line="240" w:lineRule="auto"/>
      </w:pPr>
      <w:r>
        <w:rPr>
          <w:rFonts w:ascii="宋体" w:cs="宋体" w:eastAsia="宋体" w:hAnsi="宋体"/>
          <w:color w:val="000000"/>
          <w:sz w:val="21"/>
          <w:szCs w:val="21"/>
        </w:rPr>
        <w:t xml:space="preserve"/>
      </w:r>
    </w:p>
    <w:p>
      <w:pPr>
        <w:spacing w:before="0" w:after="0" w:line="240" w:lineRule="auto"/>
      </w:pPr>
      <w:r>
        <w:rPr>
          <w:rFonts w:ascii="宋体" w:cs="宋体" w:eastAsia="宋体" w:hAnsi="宋体"/>
          <w:color w:val="000000"/>
          <w:sz w:val="21"/>
          <w:szCs w:val="21"/>
        </w:rPr>
        <w:t xml:space="preserve"/>
      </w:r>
    </w:p>
    <w:p>
      <w:pPr>
        <w:spacing w:before="0" w:after="0" w:line="480" w:lineRule="auto"/>
        <w:jc w:val="center"/>
      </w:pPr>
      <w:r>
        <w:rPr>
          <w:rFonts w:ascii="黑体" w:cs="黑体" w:eastAsia="黑体" w:hAnsi="黑体"/>
          <w:b/>
          <w:bCs/>
          <w:color w:val="000000"/>
          <w:sz w:val="36"/>
          <w:szCs w:val="36"/>
        </w:rPr>
        <w:t xml:space="preserve">本科毕业设计（论文）开题报告</w:t>
      </w:r>
    </w:p>
    <w:p>
      <w:pPr>
        <w:spacing w:before="0" w:after="0" w:line="240" w:lineRule="auto"/>
      </w:pPr>
      <w:r>
        <w:rPr>
          <w:rFonts w:ascii="宋体" w:cs="宋体" w:eastAsia="宋体" w:hAnsi="宋体"/>
          <w:color w:val="000000"/>
          <w:sz w:val="21"/>
          <w:szCs w:val="21"/>
        </w:rPr>
        <w:t xml:space="preserve"/>
      </w:r>
    </w:p>
    <w:p>
      <w:pPr>
        <w:spacing w:before="0" w:after="0" w:line="240" w:lineRule="auto"/>
      </w:pPr>
      <w:r>
        <w:rPr>
          <w:rFonts w:ascii="宋体" w:cs="宋体" w:eastAsia="宋体" w:hAnsi="宋体"/>
          <w:color w:val="000000"/>
          <w:sz w:val="21"/>
          <w:szCs w:val="21"/>
        </w:rPr>
        <w:t xml:space="preserve"/>
      </w:r>
    </w:p>
    <w:p>
      <w:pPr>
        <w:spacing w:before="100" w:after="0" w:line="560" w:lineRule="auto"/>
        <w:ind w:left="200"/>
      </w:pPr>
      <w:r>
        <w:rPr>
          <w:rFonts w:ascii="宋体" w:cs="宋体" w:eastAsia="宋体" w:hAnsi="宋体"/>
          <w:color w:val="000000"/>
          <w:sz w:val="28"/>
          <w:szCs w:val="28"/>
        </w:rPr>
        <w:t xml:space="preserve">题      目：</w:t>
      </w:r>
      <w:r>
        <w:rPr>
          <w:rFonts w:ascii="宋体" w:cs="宋体" w:eastAsia="宋体" w:hAnsi="宋体"/>
          <w:color w:val="000000"/>
          <w:sz w:val="28"/>
          <w:szCs w:val="28"/>
          <w:u w:val="single"/>
        </w:rPr>
        <w:t xml:space="preserve">基于脑机接口与具身智能的模块化</w:t>
      </w:r>
    </w:p>
    <w:p>
      <w:pPr>
        <w:spacing w:before="0" w:after="20" w:line="560" w:lineRule="auto"/>
        <w:ind w:left="200"/>
      </w:pPr>
      <w:r>
        <w:rPr>
          <w:rFonts w:ascii="宋体" w:cs="宋体" w:eastAsia="宋体" w:hAnsi="宋体"/>
          <w:color w:val="000000"/>
          <w:sz w:val="28"/>
          <w:szCs w:val="28"/>
        </w:rPr>
        <w:t xml:space="preserve">　　　　　　</w:t>
      </w:r>
      <w:r>
        <w:rPr>
          <w:rFonts w:ascii="宋体" w:cs="宋体" w:eastAsia="宋体" w:hAnsi="宋体"/>
          <w:color w:val="000000"/>
          <w:sz w:val="28"/>
          <w:szCs w:val="28"/>
          <w:u w:val="single"/>
        </w:rPr>
        <w:t xml:space="preserve">移动操作臂系统设计与实现</w:t>
      </w:r>
    </w:p>
    <w:p>
      <w:pPr>
        <w:spacing w:before="0" w:after="200" w:line="520" w:lineRule="auto"/>
        <w:ind w:left="200"/>
      </w:pPr>
      <w:r>
        <w:rPr>
          <w:rFonts w:ascii="宋体" w:cs="宋体" w:eastAsia="宋体" w:hAnsi="宋体"/>
          <w:color w:val="000000"/>
          <w:sz w:val="28"/>
          <w:szCs w:val="28"/>
        </w:rPr>
        <w:t xml:space="preserve">　　　　　　</w:t>
      </w:r>
      <w:r>
        <w:rPr>
          <w:rFonts w:ascii="宋体" w:cs="宋体" w:eastAsia="宋体" w:hAnsi="宋体"/>
          <w:i/>
          <w:iCs/>
          <w:color w:val="000000"/>
          <w:sz w:val="24"/>
          <w:szCs w:val="24"/>
          <w:u w:val="single"/>
        </w:rPr>
        <w:t xml:space="preserve">——BCI × 具身智能 × MR 四层闭环系统</w:t>
      </w:r>
    </w:p>
    <w:p>
      <w:pPr>
        <w:spacing w:before="0" w:after="0" w:line="240" w:lineRule="auto"/>
      </w:pPr>
      <w:r>
        <w:rPr>
          <w:rFonts w:ascii="宋体" w:cs="宋体" w:eastAsia="宋体" w:hAnsi="宋体"/>
          <w:color w:val="000000"/>
          <w:sz w:val="21"/>
          <w:szCs w:val="21"/>
        </w:rPr>
        <w:t xml:space="preserve"/>
      </w:r>
    </w:p>
    <w:p>
      <w:pPr>
        <w:spacing w:before="0" w:after="0" w:line="240" w:lineRule="auto"/>
      </w:pPr>
      <w:r>
        <w:rPr>
          <w:rFonts w:ascii="宋体" w:cs="宋体" w:eastAsia="宋体" w:hAnsi="宋体"/>
          <w:color w:val="000000"/>
          <w:sz w:val="21"/>
          <w:szCs w:val="21"/>
        </w:rPr>
        <w:t xml:space="preserve"/>
      </w:r>
    </w:p>
    <w:tbl>
      <w:tblPr>
        <w:tblW w:type="dxa" w:w="85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253"/>
        <w:gridCol w:w="4253"/>
      </w:tblGrid>
      <w:tr>
        <w:tc>
          <w:tcPr>
            <w:tcW w:type="dxa" w:w="4253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 w:line="360" w:lineRule="auto"/>
            </w:pPr>
            <w:r>
              <w:rPr>
                <w:rFonts w:ascii="宋体" w:cs="宋体" w:eastAsia="宋体" w:hAnsi="宋体"/>
                <w:color w:val="000000"/>
                <w:sz w:val="21"/>
                <w:szCs w:val="21"/>
              </w:rPr>
              <w:t xml:space="preserve">学        院：</w:t>
            </w:r>
            <w:r>
              <w:rPr>
                <w:rFonts w:ascii="宋体" w:cs="宋体" w:eastAsia="宋体" w:hAnsi="宋体"/>
                <w:color w:val="000000"/>
                <w:sz w:val="21"/>
                <w:szCs w:val="21"/>
                <w:u w:val="single"/>
              </w:rPr>
              <w:t xml:space="preserve">＿＿＿＿＿＿＿＿</w:t>
            </w:r>
          </w:p>
        </w:tc>
        <w:tc>
          <w:tcPr>
            <w:tcW w:type="dxa" w:w="4253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 w:line="360" w:lineRule="auto"/>
            </w:pPr>
            <w:r>
              <w:rPr>
                <w:rFonts w:ascii="宋体" w:cs="宋体" w:eastAsia="宋体" w:hAnsi="宋体"/>
                <w:color w:val="000000"/>
                <w:sz w:val="21"/>
                <w:szCs w:val="21"/>
              </w:rPr>
              <w:t xml:space="preserve">专        业：</w:t>
            </w:r>
            <w:r>
              <w:rPr>
                <w:rFonts w:ascii="宋体" w:cs="宋体" w:eastAsia="宋体" w:hAnsi="宋体"/>
                <w:color w:val="000000"/>
                <w:sz w:val="21"/>
                <w:szCs w:val="21"/>
                <w:u w:val="single"/>
              </w:rPr>
              <w:t xml:space="preserve">＿＿＿＿＿＿＿＿</w:t>
            </w:r>
          </w:p>
        </w:tc>
      </w:tr>
      <w:tr>
        <w:tc>
          <w:tcPr>
            <w:tcW w:type="dxa" w:w="4253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 w:line="360" w:lineRule="auto"/>
            </w:pPr>
            <w:r>
              <w:rPr>
                <w:rFonts w:ascii="宋体" w:cs="宋体" w:eastAsia="宋体" w:hAnsi="宋体"/>
                <w:color w:val="000000"/>
                <w:sz w:val="21"/>
                <w:szCs w:val="21"/>
              </w:rPr>
              <w:t xml:space="preserve">学        号：</w:t>
            </w:r>
            <w:r>
              <w:rPr>
                <w:rFonts w:ascii="宋体" w:cs="宋体" w:eastAsia="宋体" w:hAnsi="宋体"/>
                <w:color w:val="000000"/>
                <w:sz w:val="21"/>
                <w:szCs w:val="21"/>
                <w:u w:val="single"/>
              </w:rPr>
              <w:t xml:space="preserve">＿＿＿＿＿＿＿＿</w:t>
            </w:r>
          </w:p>
        </w:tc>
        <w:tc>
          <w:tcPr>
            <w:tcW w:type="dxa" w:w="4253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 w:line="360" w:lineRule="auto"/>
            </w:pPr>
            <w:r>
              <w:rPr>
                <w:rFonts w:ascii="宋体" w:cs="宋体" w:eastAsia="宋体" w:hAnsi="宋体"/>
                <w:color w:val="000000"/>
                <w:sz w:val="21"/>
                <w:szCs w:val="21"/>
              </w:rPr>
              <w:t xml:space="preserve">姓        名：</w:t>
            </w:r>
            <w:r>
              <w:rPr>
                <w:rFonts w:ascii="宋体" w:cs="宋体" w:eastAsia="宋体" w:hAnsi="宋体"/>
                <w:color w:val="000000"/>
                <w:sz w:val="21"/>
                <w:szCs w:val="21"/>
                <w:u w:val="single"/>
              </w:rPr>
              <w:t xml:space="preserve">＿＿＿＿＿＿＿＿</w:t>
            </w:r>
          </w:p>
        </w:tc>
      </w:tr>
      <w:tr>
        <w:tc>
          <w:tcPr>
            <w:tcW w:type="dxa" w:w="4253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 w:line="360" w:lineRule="auto"/>
            </w:pPr>
            <w:r>
              <w:rPr>
                <w:rFonts w:ascii="宋体" w:cs="宋体" w:eastAsia="宋体" w:hAnsi="宋体"/>
                <w:color w:val="000000"/>
                <w:sz w:val="21"/>
                <w:szCs w:val="21"/>
              </w:rPr>
              <w:t xml:space="preserve">指 导 教 师：</w:t>
            </w:r>
            <w:r>
              <w:rPr>
                <w:rFonts w:ascii="宋体" w:cs="宋体" w:eastAsia="宋体" w:hAnsi="宋体"/>
                <w:color w:val="000000"/>
                <w:sz w:val="21"/>
                <w:szCs w:val="21"/>
                <w:u w:val="single"/>
              </w:rPr>
              <w:t xml:space="preserve">＿＿＿＿＿＿＿＿</w:t>
            </w:r>
          </w:p>
        </w:tc>
        <w:tc>
          <w:tcPr>
            <w:tcW w:type="dxa" w:w="4253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 w:line="360" w:lineRule="auto"/>
            </w:pPr>
            <w:r>
              <w:rPr>
                <w:rFonts w:ascii="宋体" w:cs="宋体" w:eastAsia="宋体" w:hAnsi="宋体"/>
                <w:color w:val="000000"/>
                <w:sz w:val="21"/>
                <w:szCs w:val="21"/>
              </w:rPr>
              <w:t xml:space="preserve">职        称：</w:t>
            </w:r>
            <w:r>
              <w:rPr>
                <w:rFonts w:ascii="宋体" w:cs="宋体" w:eastAsia="宋体" w:hAnsi="宋体"/>
                <w:color w:val="000000"/>
                <w:sz w:val="21"/>
                <w:szCs w:val="21"/>
                <w:u w:val="single"/>
              </w:rPr>
              <w:t xml:space="preserve">＿＿＿＿＿＿＿＿</w:t>
            </w:r>
          </w:p>
        </w:tc>
      </w:tr>
      <w:tr>
        <w:tc>
          <w:tcPr>
            <w:tcW w:type="dxa" w:w="4253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 w:line="360" w:lineRule="auto"/>
            </w:pPr>
            <w:r>
              <w:rPr>
                <w:rFonts w:ascii="宋体" w:cs="宋体" w:eastAsia="宋体" w:hAnsi="宋体"/>
                <w:color w:val="000000"/>
                <w:sz w:val="21"/>
                <w:szCs w:val="21"/>
              </w:rPr>
              <w:t xml:space="preserve">开 题 日 期：</w:t>
            </w:r>
            <w:r>
              <w:rPr>
                <w:rFonts w:ascii="宋体" w:cs="宋体" w:eastAsia="宋体" w:hAnsi="宋体"/>
                <w:color w:val="000000"/>
                <w:sz w:val="21"/>
                <w:szCs w:val="21"/>
                <w:u w:val="single"/>
              </w:rPr>
              <w:t xml:space="preserve">＿＿＿＿年＿＿月＿＿日</w:t>
            </w:r>
          </w:p>
        </w:tc>
        <w:tc>
          <w:tcPr>
            <w:tcW w:type="dxa" w:w="4253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 w:line="360" w:lineRule="auto"/>
            </w:pPr>
            <w:r>
              <w:rPr>
                <w:rFonts w:ascii="宋体" w:cs="宋体" w:eastAsia="宋体" w:hAnsi="宋体"/>
                <w:color w:val="000000"/>
                <w:sz w:val="21"/>
                <w:szCs w:val="21"/>
              </w:rPr>
              <w:t xml:space="preserve"/>
            </w:r>
            <w:r>
              <w:rPr>
                <w:rFonts w:ascii="宋体" w:cs="宋体" w:eastAsia="宋体" w:hAnsi="宋体"/>
                <w:color w:val="000000"/>
                <w:sz w:val="21"/>
                <w:szCs w:val="21"/>
                <w:u w:val="single"/>
              </w:rPr>
              <w:t xml:space="preserve"/>
            </w:r>
          </w:p>
        </w:tc>
      </w:tr>
    </w:tbl>
    <w:p>
      <w:pPr>
        <w:spacing w:before="0" w:after="0" w:line="240" w:lineRule="auto"/>
      </w:pPr>
      <w:r>
        <w:rPr>
          <w:rFonts w:ascii="宋体" w:cs="宋体" w:eastAsia="宋体" w:hAnsi="宋体"/>
          <w:color w:val="000000"/>
          <w:sz w:val="21"/>
          <w:szCs w:val="21"/>
        </w:rPr>
        <w:t xml:space="preserve"/>
      </w:r>
    </w:p>
    <w:p>
      <w:pPr>
        <w:spacing w:before="0" w:after="0" w:line="240" w:lineRule="auto"/>
      </w:pPr>
      <w:r>
        <w:rPr>
          <w:rFonts w:ascii="宋体" w:cs="宋体" w:eastAsia="宋体" w:hAnsi="宋体"/>
          <w:color w:val="000000"/>
          <w:sz w:val="21"/>
          <w:szCs w:val="21"/>
        </w:rPr>
        <w:t xml:space="preserve"/>
      </w:r>
    </w:p>
    <w:p>
      <w:pPr>
        <w:spacing w:before="0" w:after="0" w:line="240" w:lineRule="auto"/>
      </w:pPr>
      <w:r>
        <w:rPr>
          <w:rFonts w:ascii="宋体" w:cs="宋体" w:eastAsia="宋体" w:hAnsi="宋体"/>
          <w:color w:val="000000"/>
          <w:sz w:val="21"/>
          <w:szCs w:val="21"/>
        </w:rPr>
        <w:t xml:space="preserve"/>
      </w:r>
    </w:p>
    <w:p>
      <w:pPr>
        <w:jc w:val="center"/>
      </w:pPr>
      <w:r>
        <w:rPr>
          <w:rFonts w:ascii="宋体" w:cs="宋体" w:eastAsia="宋体" w:hAnsi="宋体"/>
          <w:i/>
          <w:iCs/>
          <w:color w:val="888888"/>
          <w:sz w:val="19"/>
          <w:szCs w:val="19"/>
        </w:rPr>
        <w:t xml:space="preserve">（本页为封面，正文另起页）</w:t>
      </w:r>
    </w:p>
    <w:p>
      <w:pPr>
        <w:pageBreakBefore/>
      </w:pPr>
    </w:p>
    <w:p>
      <w:pPr>
        <w:pStyle w:val="Heading1"/>
        <w:spacing w:before="200" w:after="100" w:line="480" w:lineRule="auto"/>
      </w:pPr>
      <w:r>
        <w:rPr>
          <w:rFonts w:ascii="黑体" w:cs="黑体" w:eastAsia="黑体" w:hAnsi="黑体"/>
          <w:b/>
          <w:bCs/>
          <w:color w:val="000000"/>
          <w:sz w:val="28"/>
          <w:szCs w:val="28"/>
        </w:rPr>
        <w:t xml:space="preserve">一、选题背景与意义</w:t>
      </w:r>
    </w:p>
    <w:p>
      <w:pPr>
        <w:pStyle w:val="Heading2"/>
        <w:spacing w:before="160" w:after="80" w:line="360" w:lineRule="auto"/>
      </w:pPr>
      <w:r>
        <w:rPr>
          <w:rFonts w:ascii="黑体" w:cs="黑体" w:eastAsia="黑体" w:hAnsi="黑体"/>
          <w:b/>
          <w:bCs/>
          <w:color w:val="000000"/>
          <w:sz w:val="21"/>
          <w:szCs w:val="21"/>
        </w:rPr>
        <w:t xml:space="preserve">1.1  研究背景</w:t>
      </w:r>
    </w:p>
    <w:p>
      <w:pPr>
        <w:spacing w:before="0" w:after="0" w:line="360" w:lineRule="auto"/>
        <w:ind w:firstLine="420"/>
      </w:pPr>
      <w:r>
        <w:rPr>
          <w:rFonts w:ascii="宋体" w:cs="宋体" w:eastAsia="宋体" w:hAnsi="宋体"/>
          <w:color w:val="000000"/>
          <w:sz w:val="21"/>
          <w:szCs w:val="21"/>
        </w:rPr>
        <w:t xml:space="preserve">随着人工智能与机器人技术的快速发展，移动操作臂（Mobile Manipulator）系统已成为智能制造、物流分拣、医疗康复等领域的核心研究方向之一。与固定式机械臂相比，移动操作臂将自主移动能力与末端操作能力相结合，能够在非结构化环境中完成复杂的抓取与搬运任务，具有更高的实用价值与应用前景。</w:t>
      </w:r>
    </w:p>
    <w:p>
      <w:pPr>
        <w:spacing w:before="0" w:after="0" w:line="360" w:lineRule="auto"/>
        <w:ind w:firstLine="420"/>
      </w:pPr>
      <w:r>
        <w:rPr>
          <w:rFonts w:ascii="宋体" w:cs="宋体" w:eastAsia="宋体" w:hAnsi="宋体"/>
          <w:color w:val="000000"/>
          <w:sz w:val="21"/>
          <w:szCs w:val="21"/>
        </w:rPr>
        <w:t xml:space="preserve">与此同时，脑机接口（Brain-Computer Interface，BCI）技术与混合现实（Mixed Reality，MR）技术近年来均取得了显著进展。非侵入式脑电设备成本持续降低，MR 眼镜（如 Meta Quest 3）的消费级普及为空间感知反馈提供了新的工程路径。然而，现有研究中 BCI、机器人、MR 三个技术栈大多各自独立发展，缺乏将三者整合为统一闭环系统的工程实践。</w:t>
      </w:r>
    </w:p>
    <w:p>
      <w:pPr>
        <w:spacing w:before="0" w:after="0" w:line="360" w:lineRule="auto"/>
        <w:ind w:firstLine="420"/>
      </w:pPr>
      <w:r>
        <w:rPr>
          <w:rFonts w:ascii="宋体" w:cs="宋体" w:eastAsia="宋体" w:hAnsi="宋体"/>
          <w:color w:val="000000"/>
          <w:sz w:val="21"/>
          <w:szCs w:val="21"/>
        </w:rPr>
        <w:t xml:space="preserve">本课题拟在地瓜机器人 RDK X5 平台上，构建一套"BCI 意图接入层 — Agent 调度层 — 具身执行层 — MR 空间反馈层"四层闭合回路系统，实现从人脑意图出发、经机器人执行、再通过 MR 反馈回到人的认知系统的完整闭环，探索人机协同的新范式。</w:t>
      </w:r>
    </w:p>
    <w:p>
      <w:pPr>
        <w:pStyle w:val="Heading2"/>
        <w:spacing w:before="160" w:after="80" w:line="360" w:lineRule="auto"/>
      </w:pPr>
      <w:r>
        <w:rPr>
          <w:rFonts w:ascii="黑体" w:cs="黑体" w:eastAsia="黑体" w:hAnsi="黑体"/>
          <w:b/>
          <w:bCs/>
          <w:color w:val="000000"/>
          <w:sz w:val="21"/>
          <w:szCs w:val="21"/>
        </w:rPr>
        <w:t xml:space="preserve">1.2  研究意义</w:t>
      </w:r>
    </w:p>
    <w:p>
      <w:pPr>
        <w:spacing w:before="0" w:after="0" w:line="360" w:lineRule="auto"/>
        <w:ind w:firstLine="420"/>
      </w:pPr>
      <w:r>
        <w:rPr>
          <w:rFonts w:ascii="宋体" w:cs="宋体" w:eastAsia="宋体" w:hAnsi="宋体"/>
          <w:color w:val="000000"/>
          <w:sz w:val="21"/>
          <w:szCs w:val="21"/>
        </w:rPr>
        <w:t xml:space="preserve">本课题的研究意义体现在以下三个层面：</w:t>
      </w:r>
    </w:p>
    <w:p>
      <w:pPr>
        <w:pStyle w:val="ListParagraph"/>
        <w:numPr>
          <w:ilvl w:val="0"/>
          <w:numId w:val="2"/>
        </w:numPr>
        <w:spacing w:before="0" w:after="80" w:line="360" w:lineRule="auto"/>
      </w:pPr>
      <w:r>
        <w:rPr>
          <w:rFonts w:ascii="宋体" w:cs="宋体" w:eastAsia="宋体" w:hAnsi="宋体"/>
          <w:b/>
          <w:bCs/>
          <w:color w:val="000000"/>
          <w:sz w:val="21"/>
          <w:szCs w:val="21"/>
        </w:rPr>
        <w:t xml:space="preserve">工程验证意义：</w:t>
      </w:r>
      <w:r>
        <w:rPr>
          <w:rFonts w:ascii="宋体" w:cs="宋体" w:eastAsia="宋体" w:hAnsi="宋体"/>
          <w:color w:val="000000"/>
          <w:sz w:val="21"/>
          <w:szCs w:val="21"/>
        </w:rPr>
        <w:t xml:space="preserve">通过完整实现四层闭环系统，验证 BCI、具身智能与 MR 三栈融合的工程可行性，为相关交叉研究提供可复现的原型系统与开源代码参考。</w:t>
      </w:r>
    </w:p>
    <w:p>
      <w:pPr>
        <w:pStyle w:val="ListParagraph"/>
        <w:numPr>
          <w:ilvl w:val="0"/>
          <w:numId w:val="2"/>
        </w:numPr>
        <w:spacing w:before="0" w:after="80" w:line="360" w:lineRule="auto"/>
      </w:pPr>
      <w:r>
        <w:rPr>
          <w:rFonts w:ascii="宋体" w:cs="宋体" w:eastAsia="宋体" w:hAnsi="宋体"/>
          <w:b/>
          <w:bCs/>
          <w:color w:val="000000"/>
          <w:sz w:val="21"/>
          <w:szCs w:val="21"/>
        </w:rPr>
        <w:t xml:space="preserve">技术创新意义：</w:t>
      </w:r>
      <w:r>
        <w:rPr>
          <w:rFonts w:ascii="宋体" w:cs="宋体" w:eastAsia="宋体" w:hAnsi="宋体"/>
          <w:color w:val="000000"/>
          <w:sz w:val="21"/>
          <w:szCs w:val="21"/>
        </w:rPr>
        <w:t xml:space="preserve">闭环设计使操作者成为回路中的有效调节环节——MR 空间反馈影响其注意力状态，进而通过 BCI 形成下一轮控制信号。这一"认知-执行闭环"是传统遥操作系统所不具备的特性。</w:t>
      </w:r>
    </w:p>
    <w:p>
      <w:pPr>
        <w:pStyle w:val="ListParagraph"/>
        <w:numPr>
          <w:ilvl w:val="0"/>
          <w:numId w:val="2"/>
        </w:numPr>
        <w:spacing w:before="0" w:after="80" w:line="360" w:lineRule="auto"/>
      </w:pPr>
      <w:r>
        <w:rPr>
          <w:rFonts w:ascii="宋体" w:cs="宋体" w:eastAsia="宋体" w:hAnsi="宋体"/>
          <w:b/>
          <w:bCs/>
          <w:color w:val="000000"/>
          <w:sz w:val="21"/>
          <w:szCs w:val="21"/>
        </w:rPr>
        <w:t xml:space="preserve">应用前景意义：</w:t>
      </w:r>
      <w:r>
        <w:rPr>
          <w:rFonts w:ascii="宋体" w:cs="宋体" w:eastAsia="宋体" w:hAnsi="宋体"/>
          <w:color w:val="000000"/>
          <w:sz w:val="21"/>
          <w:szCs w:val="21"/>
        </w:rPr>
        <w:t xml:space="preserve">研究成果可推广至行动障碍人士的辅助机器人、智能制造人机协作场景，以及面向新型人机交互的教育与科研平台，具有较高的社会价值与产业转化潜力。</w:t>
      </w:r>
    </w:p>
    <w:p>
      <w:pPr>
        <w:spacing w:before="0" w:after="0" w:line="240" w:lineRule="auto"/>
      </w:pPr>
      <w:r>
        <w:rPr>
          <w:rFonts w:ascii="宋体" w:cs="宋体" w:eastAsia="宋体" w:hAnsi="宋体"/>
          <w:color w:val="000000"/>
          <w:sz w:val="21"/>
          <w:szCs w:val="21"/>
        </w:rPr>
        <w:t xml:space="preserve"/>
      </w:r>
    </w:p>
    <w:p>
      <w:pPr>
        <w:pStyle w:val="Heading1"/>
        <w:spacing w:before="200" w:after="100" w:line="480" w:lineRule="auto"/>
      </w:pPr>
      <w:r>
        <w:rPr>
          <w:rFonts w:ascii="黑体" w:cs="黑体" w:eastAsia="黑体" w:hAnsi="黑体"/>
          <w:b/>
          <w:bCs/>
          <w:color w:val="000000"/>
          <w:sz w:val="28"/>
          <w:szCs w:val="28"/>
        </w:rPr>
        <w:t xml:space="preserve">二、国内外研究现状</w:t>
      </w:r>
    </w:p>
    <w:p>
      <w:pPr>
        <w:pStyle w:val="Heading2"/>
        <w:spacing w:before="160" w:after="80" w:line="360" w:lineRule="auto"/>
      </w:pPr>
      <w:r>
        <w:rPr>
          <w:rFonts w:ascii="黑体" w:cs="黑体" w:eastAsia="黑体" w:hAnsi="黑体"/>
          <w:b/>
          <w:bCs/>
          <w:color w:val="000000"/>
          <w:sz w:val="21"/>
          <w:szCs w:val="21"/>
        </w:rPr>
        <w:t xml:space="preserve">2.1  移动操作臂系统研究现状</w:t>
      </w:r>
    </w:p>
    <w:p>
      <w:pPr>
        <w:spacing w:before="0" w:after="0" w:line="360" w:lineRule="auto"/>
        <w:ind w:firstLine="420"/>
      </w:pPr>
      <w:r>
        <w:rPr>
          <w:rFonts w:ascii="宋体" w:cs="宋体" w:eastAsia="宋体" w:hAnsi="宋体"/>
          <w:color w:val="000000"/>
          <w:sz w:val="21"/>
          <w:szCs w:val="21"/>
        </w:rPr>
        <w:t xml:space="preserve">国际上，移动操作臂领域的代表性平台包括：PR2（Willow Garage）、HSR（Toyota）、TIAGo（PAL Robotics）等，这些系统已具备较完善的感知-规划-执行能力，但成本高昂，难以在教学与小规模研究场景推广。国内方面，松灵机器人、优必选等企业推出了面向科研的移动操作臂，但在模块化设计与跨平台兼容性上仍有提升空间。ROS2 框架下的 Nav2 与 MoveIt2 已成为学术研究的主流工具，为本课题提供了成熟的技术基础。</w:t>
      </w:r>
    </w:p>
    <w:p>
      <w:pPr>
        <w:pStyle w:val="Heading2"/>
        <w:spacing w:before="160" w:after="80" w:line="360" w:lineRule="auto"/>
      </w:pPr>
      <w:r>
        <w:rPr>
          <w:rFonts w:ascii="黑体" w:cs="黑体" w:eastAsia="黑体" w:hAnsi="黑体"/>
          <w:b/>
          <w:bCs/>
          <w:color w:val="000000"/>
          <w:sz w:val="21"/>
          <w:szCs w:val="21"/>
        </w:rPr>
        <w:t xml:space="preserve">2.2  脑机接口与机器人控制研究现状</w:t>
      </w:r>
    </w:p>
    <w:p>
      <w:pPr>
        <w:spacing w:before="0" w:after="0" w:line="360" w:lineRule="auto"/>
        <w:ind w:firstLine="420"/>
      </w:pPr>
      <w:r>
        <w:rPr>
          <w:rFonts w:ascii="宋体" w:cs="宋体" w:eastAsia="宋体" w:hAnsi="宋体"/>
          <w:color w:val="000000"/>
          <w:sz w:val="21"/>
          <w:szCs w:val="21"/>
        </w:rPr>
        <w:t xml:space="preserve">BCI 驱动机器人控制主要分为两类：一类基于 P300、SSVEP 等离散诱发电位进行指令分类；另一类基于运动想象（MI）信号实现连续控制，但对信号质量要求高、个体差异显著。本课题采用连续专注度阈值作为触发信号，从架构层面规避了 EEG 个体差异导致的分类器泛化问题，在保证 Demo 稳定性的前提下提供了更具工程实用性的解决路径。</w:t>
      </w:r>
    </w:p>
    <w:p>
      <w:pPr>
        <w:pStyle w:val="Heading2"/>
        <w:spacing w:before="160" w:after="80" w:line="360" w:lineRule="auto"/>
      </w:pPr>
      <w:r>
        <w:rPr>
          <w:rFonts w:ascii="黑体" w:cs="黑体" w:eastAsia="黑体" w:hAnsi="黑体"/>
          <w:b/>
          <w:bCs/>
          <w:color w:val="000000"/>
          <w:sz w:val="21"/>
          <w:szCs w:val="21"/>
        </w:rPr>
        <w:t xml:space="preserve">2.3  混合现实与机器人反馈</w:t>
      </w:r>
    </w:p>
    <w:p>
      <w:pPr>
        <w:spacing w:before="0" w:after="0" w:line="360" w:lineRule="auto"/>
        <w:ind w:firstLine="420"/>
      </w:pPr>
      <w:r>
        <w:rPr>
          <w:rFonts w:ascii="宋体" w:cs="宋体" w:eastAsia="宋体" w:hAnsi="宋体"/>
          <w:color w:val="000000"/>
          <w:sz w:val="21"/>
          <w:szCs w:val="21"/>
        </w:rPr>
        <w:t xml:space="preserve">MR 技术在机器人领域的应用已有初步探索，主要集中在远程遥操作（teleoperation）和工厂质检中的 AR 辅助标注。将 MR 作为机器人任务执行的实时反馈通道，并与 BCI 构成闭环的研究目前较为罕见。Meta Quest 3 作为国产 AR 眼镜，支持 Unity 开发，具备透视显示与空间感知能力，是在成本约束下实现 MR 反馈层的可行选型。</w:t>
      </w:r>
    </w:p>
    <w:p>
      <w:pPr>
        <w:pStyle w:val="Heading2"/>
        <w:spacing w:before="160" w:after="80" w:line="360" w:lineRule="auto"/>
      </w:pPr>
      <w:r>
        <w:rPr>
          <w:rFonts w:ascii="黑体" w:cs="黑体" w:eastAsia="黑体" w:hAnsi="黑体"/>
          <w:b/>
          <w:bCs/>
          <w:color w:val="000000"/>
          <w:sz w:val="21"/>
          <w:szCs w:val="21"/>
        </w:rPr>
        <w:t xml:space="preserve">2.4  现有研究的不足与本课题切入点</w:t>
      </w:r>
    </w:p>
    <w:p>
      <w:pPr>
        <w:spacing w:before="0" w:after="0" w:line="360" w:lineRule="auto"/>
        <w:ind w:firstLine="420"/>
      </w:pPr>
      <w:r>
        <w:rPr>
          <w:rFonts w:ascii="宋体" w:cs="宋体" w:eastAsia="宋体" w:hAnsi="宋体"/>
          <w:color w:val="000000"/>
          <w:sz w:val="21"/>
          <w:szCs w:val="21"/>
        </w:rPr>
        <w:t xml:space="preserve">现有研究存在以下不足：其一，BCI、具身智能、MR 三个技术栈缺乏统一的工程接口设计与闭环整合；其二，MR 在机器人系统中大多作为可视化工具而非控制回路的有效组成部分；其三，移动操作臂末端执行器通常为固定配置，任务切换需要手动干预。本课题以四层闭环为核心命题，以工程可行性为首要约束，设计标准化接口，实现 BCI × 具身智能 × MR 的首次系统级闭环融合验证。</w:t>
      </w:r>
    </w:p>
    <w:p>
      <w:pPr>
        <w:spacing w:before="0" w:after="0" w:line="240" w:lineRule="auto"/>
      </w:pPr>
      <w:r>
        <w:rPr>
          <w:rFonts w:ascii="宋体" w:cs="宋体" w:eastAsia="宋体" w:hAnsi="宋体"/>
          <w:color w:val="000000"/>
          <w:sz w:val="21"/>
          <w:szCs w:val="21"/>
        </w:rPr>
        <w:t xml:space="preserve"/>
      </w:r>
    </w:p>
    <w:p>
      <w:pPr>
        <w:pStyle w:val="Heading1"/>
        <w:spacing w:before="200" w:after="100" w:line="480" w:lineRule="auto"/>
      </w:pPr>
      <w:r>
        <w:rPr>
          <w:rFonts w:ascii="黑体" w:cs="黑体" w:eastAsia="黑体" w:hAnsi="黑体"/>
          <w:b/>
          <w:bCs/>
          <w:color w:val="000000"/>
          <w:sz w:val="28"/>
          <w:szCs w:val="28"/>
        </w:rPr>
        <w:t xml:space="preserve">三、研究内容与目标</w:t>
      </w:r>
    </w:p>
    <w:p>
      <w:pPr>
        <w:pStyle w:val="Heading2"/>
        <w:spacing w:before="160" w:after="80" w:line="360" w:lineRule="auto"/>
      </w:pPr>
      <w:r>
        <w:rPr>
          <w:rFonts w:ascii="黑体" w:cs="黑体" w:eastAsia="黑体" w:hAnsi="黑体"/>
          <w:b/>
          <w:bCs/>
          <w:color w:val="000000"/>
          <w:sz w:val="21"/>
          <w:szCs w:val="21"/>
        </w:rPr>
        <w:t xml:space="preserve">3.1  研究内容</w:t>
      </w:r>
    </w:p>
    <w:p>
      <w:pPr>
        <w:spacing w:before="0" w:after="0" w:line="360" w:lineRule="auto"/>
        <w:ind w:firstLine="420"/>
      </w:pPr>
      <w:r>
        <w:rPr>
          <w:rFonts w:ascii="宋体" w:cs="宋体" w:eastAsia="宋体" w:hAnsi="宋体"/>
          <w:color w:val="000000"/>
          <w:sz w:val="21"/>
          <w:szCs w:val="21"/>
        </w:rPr>
        <w:t xml:space="preserve">本课题的研究内容分为以下六个模块：</w:t>
      </w:r>
    </w:p>
    <w:p>
      <w:pPr>
        <w:pStyle w:val="ListParagraph"/>
        <w:numPr>
          <w:ilvl w:val="0"/>
          <w:numId w:val="2"/>
        </w:numPr>
        <w:spacing w:before="0" w:after="80" w:line="360" w:lineRule="auto"/>
      </w:pPr>
      <w:r>
        <w:rPr>
          <w:rFonts w:ascii="宋体" w:cs="宋体" w:eastAsia="宋体" w:hAnsi="宋体"/>
          <w:b/>
          <w:bCs/>
          <w:color w:val="000000"/>
          <w:sz w:val="21"/>
          <w:szCs w:val="21"/>
        </w:rPr>
        <w:t xml:space="preserve">移动底盘自主导航模块：</w:t>
      </w:r>
      <w:r>
        <w:rPr>
          <w:rFonts w:ascii="宋体" w:cs="宋体" w:eastAsia="宋体" w:hAnsi="宋体"/>
          <w:color w:val="000000"/>
          <w:sz w:val="21"/>
          <w:szCs w:val="21"/>
        </w:rPr>
        <w:t xml:space="preserve">基于 RPLIDAR S1 激光雷达与 RDK X5 主控，集成 SLAM Toolbox 完成室内环境建图，配置 Nav2 导航栈实现点到点自主导航与动态避障。底盘驱动层已完成，本阶段重点在于 ROS2 节点封装与 Nav2 联调。</w:t>
      </w:r>
    </w:p>
    <w:p>
      <w:pPr>
        <w:pStyle w:val="ListParagraph"/>
        <w:numPr>
          <w:ilvl w:val="0"/>
          <w:numId w:val="2"/>
        </w:numPr>
        <w:spacing w:before="0" w:after="80" w:line="360" w:lineRule="auto"/>
      </w:pPr>
      <w:r>
        <w:rPr>
          <w:rFonts w:ascii="宋体" w:cs="宋体" w:eastAsia="宋体" w:hAnsi="宋体"/>
          <w:b/>
          <w:bCs/>
          <w:color w:val="000000"/>
          <w:sz w:val="21"/>
          <w:szCs w:val="21"/>
        </w:rPr>
        <w:t xml:space="preserve">模块化机械臂控制模块：</w:t>
      </w:r>
      <w:r>
        <w:rPr>
          <w:rFonts w:ascii="宋体" w:cs="宋体" w:eastAsia="宋体" w:hAnsi="宋体"/>
          <w:color w:val="000000"/>
          <w:sz w:val="21"/>
          <w:szCs w:val="21"/>
        </w:rPr>
        <w:t xml:space="preserve">完成机械臂关节驱动与末端位置控制，设计电阻 ID 识别电路实现夹爪/吸盘末端模块自动识别，完成手眼标定建立视觉坐标到机械臂坐标系的映射。</w:t>
      </w:r>
    </w:p>
    <w:p>
      <w:pPr>
        <w:pStyle w:val="ListParagraph"/>
        <w:numPr>
          <w:ilvl w:val="0"/>
          <w:numId w:val="2"/>
        </w:numPr>
        <w:spacing w:before="0" w:after="80" w:line="360" w:lineRule="auto"/>
      </w:pPr>
      <w:r>
        <w:rPr>
          <w:rFonts w:ascii="宋体" w:cs="宋体" w:eastAsia="宋体" w:hAnsi="宋体"/>
          <w:b/>
          <w:bCs/>
          <w:color w:val="000000"/>
          <w:sz w:val="21"/>
          <w:szCs w:val="21"/>
        </w:rPr>
        <w:t xml:space="preserve">视觉感知模块：</w:t>
      </w:r>
      <w:r>
        <w:rPr>
          <w:rFonts w:ascii="宋体" w:cs="宋体" w:eastAsia="宋体" w:hAnsi="宋体"/>
          <w:color w:val="000000"/>
          <w:sz w:val="21"/>
          <w:szCs w:val="21"/>
        </w:rPr>
        <w:t xml:space="preserve">基于 USB 摄像头与轻量级目标检测模型（YOLO-tiny / MobileNetV3），实现颜色+形状双通道识别，通过手眼标定将像素坐标转换为机械臂工作空间坐标，完成静态目标的可靠抓取。</w:t>
      </w:r>
    </w:p>
    <w:p>
      <w:pPr>
        <w:pStyle w:val="ListParagraph"/>
        <w:numPr>
          <w:ilvl w:val="0"/>
          <w:numId w:val="2"/>
        </w:numPr>
        <w:spacing w:before="0" w:after="80" w:line="360" w:lineRule="auto"/>
      </w:pPr>
      <w:r>
        <w:rPr>
          <w:rFonts w:ascii="宋体" w:cs="宋体" w:eastAsia="宋体" w:hAnsi="宋体"/>
          <w:b/>
          <w:bCs/>
          <w:color w:val="000000"/>
          <w:sz w:val="21"/>
          <w:szCs w:val="21"/>
        </w:rPr>
        <w:t xml:space="preserve">Agent 任务调度模块：</w:t>
      </w:r>
      <w:r>
        <w:rPr>
          <w:rFonts w:ascii="宋体" w:cs="宋体" w:eastAsia="宋体" w:hAnsi="宋体"/>
          <w:color w:val="000000"/>
          <w:sz w:val="21"/>
          <w:szCs w:val="21"/>
        </w:rPr>
        <w:t xml:space="preserve">设计任务状态机（IDLE→NAVIGATE→DETECT→GRASP→TRANSPORT→PLACE），以行为树管理任务分解逻辑，实现底盘导航与机械臂抓取的协同调度与异常处理。</w:t>
      </w:r>
    </w:p>
    <w:p>
      <w:pPr>
        <w:pStyle w:val="ListParagraph"/>
        <w:numPr>
          <w:ilvl w:val="0"/>
          <w:numId w:val="2"/>
        </w:numPr>
        <w:spacing w:before="0" w:after="80" w:line="360" w:lineRule="auto"/>
      </w:pPr>
      <w:r>
        <w:rPr>
          <w:rFonts w:ascii="宋体" w:cs="宋体" w:eastAsia="宋体" w:hAnsi="宋体"/>
          <w:b/>
          <w:bCs/>
          <w:color w:val="000000"/>
          <w:sz w:val="21"/>
          <w:szCs w:val="21"/>
        </w:rPr>
        <w:t xml:space="preserve">BCI 意图接入模块：</w:t>
      </w:r>
      <w:r>
        <w:rPr>
          <w:rFonts w:ascii="宋体" w:cs="宋体" w:eastAsia="宋体" w:hAnsi="宋体"/>
          <w:color w:val="000000"/>
          <w:sz w:val="21"/>
          <w:szCs w:val="21"/>
        </w:rPr>
        <w:t xml:space="preserve">接入商用非侵入式 EEG 设备，采用专注度连续阈值触发策略（≥70/100 持续 2 秒触发 START 指令），将 BCI 意图信号接入 Agent 调度层。键盘保留为备用触发方式。</w:t>
      </w:r>
    </w:p>
    <w:p>
      <w:pPr>
        <w:pStyle w:val="ListParagraph"/>
        <w:numPr>
          <w:ilvl w:val="0"/>
          <w:numId w:val="2"/>
        </w:numPr>
        <w:spacing w:before="0" w:after="80" w:line="360" w:lineRule="auto"/>
      </w:pPr>
      <w:r>
        <w:rPr>
          <w:rFonts w:ascii="宋体" w:cs="宋体" w:eastAsia="宋体" w:hAnsi="宋体"/>
          <w:b/>
          <w:bCs/>
          <w:color w:val="000000"/>
          <w:sz w:val="21"/>
          <w:szCs w:val="21"/>
        </w:rPr>
        <w:t xml:space="preserve">MR 空间反馈模块（核心创新）：</w:t>
      </w:r>
      <w:r>
        <w:rPr>
          <w:rFonts w:ascii="宋体" w:cs="宋体" w:eastAsia="宋体" w:hAnsi="宋体"/>
          <w:color w:val="000000"/>
          <w:sz w:val="21"/>
          <w:szCs w:val="21"/>
        </w:rPr>
        <w:t xml:space="preserve">基于 Meta Quest 3 + Unity SDK 开发 AR 覆盖层，通过 ROS2 WebSocket Bridge 接收机器人位姿、规划路径、任务状态数据，实时渲染路径预览（Path Preview）和任务状态 HUD（Task Status），完成四层闭环的最后一环。</w:t>
      </w:r>
    </w:p>
    <w:p>
      <w:pPr>
        <w:pStyle w:val="Heading2"/>
        <w:spacing w:before="160" w:after="80" w:line="360" w:lineRule="auto"/>
      </w:pPr>
      <w:r>
        <w:rPr>
          <w:rFonts w:ascii="黑体" w:cs="黑体" w:eastAsia="黑体" w:hAnsi="黑体"/>
          <w:b/>
          <w:bCs/>
          <w:color w:val="000000"/>
          <w:sz w:val="21"/>
          <w:szCs w:val="21"/>
        </w:rPr>
        <w:t xml:space="preserve">3.2  研究目标</w:t>
      </w:r>
    </w:p>
    <w:p>
      <w:pPr>
        <w:spacing w:before="0" w:after="0" w:line="360" w:lineRule="auto"/>
        <w:ind w:firstLine="420"/>
      </w:pPr>
      <w:r>
        <w:rPr>
          <w:rFonts w:ascii="宋体" w:cs="宋体" w:eastAsia="宋体" w:hAnsi="宋体"/>
          <w:color w:val="000000"/>
          <w:sz w:val="21"/>
          <w:szCs w:val="21"/>
        </w:rPr>
        <w:t xml:space="preserve">本课题的核心目标为：构建一套稳定可演示的"BCI × 具身智能 × MR"四层闭环工程融合原型系统，具体验收标准如下：</w:t>
      </w:r>
    </w:p>
    <w:p>
      <w:pPr>
        <w:spacing w:before="0" w:after="0" w:line="240" w:lineRule="auto"/>
      </w:pPr>
      <w:r>
        <w:rPr>
          <w:rFonts w:ascii="宋体" w:cs="宋体" w:eastAsia="宋体" w:hAnsi="宋体"/>
          <w:color w:val="000000"/>
          <w:sz w:val="21"/>
          <w:szCs w:val="21"/>
        </w:rPr>
        <w:t xml:space="preserve"/>
      </w:r>
    </w:p>
    <w:tbl>
      <w:tblPr>
        <w:tblW w:type="dxa" w:w="8506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auto" w:sz="4"/>
          <w:insideV w:val="single" w:color="auto" w:sz="4"/>
        </w:tblBorders>
      </w:tblPr>
      <w:tblGrid>
        <w:gridCol w:w="3000"/>
        <w:gridCol w:w="5506"/>
      </w:tblGrid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320" w:lineRule="auto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目标项</w:t>
            </w:r>
          </w:p>
        </w:tc>
        <w:tc>
          <w:tcPr>
            <w:tcW w:type="dxa" w:w="550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320" w:lineRule="auto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验收标准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320" w:lineRule="auto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底盘自主导航</w:t>
            </w:r>
          </w:p>
        </w:tc>
        <w:tc>
          <w:tcPr>
            <w:tcW w:type="dxa" w:w="550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320" w:lineRule="auto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室内点到点导航成功，动态避障有效，定位精度 ±10cm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320" w:lineRule="auto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视觉抓取</w:t>
            </w:r>
          </w:p>
        </w:tc>
        <w:tc>
          <w:tcPr>
            <w:tcW w:type="dxa" w:w="550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320" w:lineRule="auto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识别并抓取桌面静态目标，成功率 ≥ 70%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320" w:lineRule="auto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搬运全流程（无BCI/MR）</w:t>
            </w:r>
          </w:p>
        </w:tc>
        <w:tc>
          <w:tcPr>
            <w:tcW w:type="dxa" w:w="550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320" w:lineRule="auto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完整搬运，手动触发，成功率 ≥ 80%，耗时 &lt; 3 min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320" w:lineRule="auto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BCI 触发搬运</w:t>
            </w:r>
          </w:p>
        </w:tc>
        <w:tc>
          <w:tcPr>
            <w:tcW w:type="dxa" w:w="550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320" w:lineRule="auto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EEG专注度阈值触发，端到端成功率 ≥ 70%，触发延迟 &lt; 3s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320" w:lineRule="auto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MR 空间反馈</w:t>
            </w:r>
          </w:p>
        </w:tc>
        <w:tc>
          <w:tcPr>
            <w:tcW w:type="dxa" w:w="550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320" w:lineRule="auto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Meta Quest 3实时显示路径预览与任务状态，刷新率 ≥ 10Hz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320" w:lineRule="auto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四层闭环联调</w:t>
            </w:r>
          </w:p>
        </w:tc>
        <w:tc>
          <w:tcPr>
            <w:tcW w:type="dxa" w:w="550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320" w:lineRule="auto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BCI触发+MR反馈完整闭环，端到端成功率 ≥ 70%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320" w:lineRule="auto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模块化末端识别</w:t>
            </w:r>
          </w:p>
        </w:tc>
        <w:tc>
          <w:tcPr>
            <w:tcW w:type="dxa" w:w="550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320" w:lineRule="auto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夹爪/吸盘自动识别，Agent层无需手动配置即可切换策略</w:t>
            </w:r>
          </w:p>
        </w:tc>
      </w:tr>
    </w:tbl>
    <w:p>
      <w:pPr>
        <w:spacing w:before="0" w:after="0" w:line="240" w:lineRule="auto"/>
      </w:pPr>
      <w:r>
        <w:rPr>
          <w:rFonts w:ascii="宋体" w:cs="宋体" w:eastAsia="宋体" w:hAnsi="宋体"/>
          <w:color w:val="000000"/>
          <w:sz w:val="21"/>
          <w:szCs w:val="21"/>
        </w:rPr>
        <w:t xml:space="preserve"/>
      </w:r>
    </w:p>
    <w:p>
      <w:pPr>
        <w:pStyle w:val="Heading1"/>
        <w:spacing w:before="200" w:after="100" w:line="480" w:lineRule="auto"/>
      </w:pPr>
      <w:r>
        <w:rPr>
          <w:rFonts w:ascii="黑体" w:cs="黑体" w:eastAsia="黑体" w:hAnsi="黑体"/>
          <w:b/>
          <w:bCs/>
          <w:color w:val="000000"/>
          <w:sz w:val="28"/>
          <w:szCs w:val="28"/>
        </w:rPr>
        <w:t xml:space="preserve">四、研究方案与技术路线</w:t>
      </w:r>
    </w:p>
    <w:p>
      <w:pPr>
        <w:pStyle w:val="Heading2"/>
        <w:spacing w:before="160" w:after="80" w:line="360" w:lineRule="auto"/>
      </w:pPr>
      <w:r>
        <w:rPr>
          <w:rFonts w:ascii="黑体" w:cs="黑体" w:eastAsia="黑体" w:hAnsi="黑体"/>
          <w:b/>
          <w:bCs/>
          <w:color w:val="000000"/>
          <w:sz w:val="21"/>
          <w:szCs w:val="21"/>
        </w:rPr>
        <w:t xml:space="preserve">4.1  四层闭环系统架构</w:t>
      </w:r>
    </w:p>
    <w:p>
      <w:pPr>
        <w:spacing w:before="0" w:after="0" w:line="360" w:lineRule="auto"/>
        <w:ind w:firstLine="420"/>
      </w:pPr>
      <w:r>
        <w:rPr>
          <w:rFonts w:ascii="宋体" w:cs="宋体" w:eastAsia="宋体" w:hAnsi="宋体"/>
          <w:color w:val="000000"/>
          <w:sz w:val="21"/>
          <w:szCs w:val="21"/>
        </w:rPr>
        <w:t xml:space="preserve">系统从上到下分为四层，各层职责明确，通过标准接口互联，共同构成认知-执行闭合回路：</w:t>
      </w:r>
    </w:p>
    <w:p>
      <w:pPr>
        <w:spacing w:before="0" w:after="0" w:line="240" w:lineRule="auto"/>
      </w:pPr>
      <w:r>
        <w:rPr>
          <w:rFonts w:ascii="宋体" w:cs="宋体" w:eastAsia="宋体" w:hAnsi="宋体"/>
          <w:color w:val="000000"/>
          <w:sz w:val="21"/>
          <w:szCs w:val="21"/>
        </w:rPr>
        <w:t xml:space="preserve"/>
      </w:r>
    </w:p>
    <w:tbl>
      <w:tblPr>
        <w:tblW w:type="dxa" w:w="8506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800"/>
        <w:gridCol w:w="2706"/>
      </w:tblGrid>
      <w:tr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320" w:lineRule="auto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层级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320" w:lineRule="auto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名称</w:t>
            </w:r>
          </w:p>
        </w:tc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320" w:lineRule="auto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核心功能</w:t>
            </w:r>
          </w:p>
        </w:tc>
        <w:tc>
          <w:tcPr>
            <w:tcW w:type="dxa" w:w="270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320" w:lineRule="auto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关键技术</w:t>
            </w:r>
          </w:p>
        </w:tc>
      </w:tr>
      <w:tr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320" w:lineRule="auto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L1（意图层）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320" w:lineRule="auto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BCI 意图接入层</w:t>
            </w:r>
          </w:p>
        </w:tc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320" w:lineRule="auto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EEG 信号采集，专注度阈值触发 START/PAUSE/ABORT 指令</w:t>
            </w:r>
          </w:p>
        </w:tc>
        <w:tc>
          <w:tcPr>
            <w:tcW w:type="dxa" w:w="270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320" w:lineRule="auto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非侵入式 EEG、Python SDK</w:t>
            </w:r>
          </w:p>
        </w:tc>
      </w:tr>
      <w:tr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320" w:lineRule="auto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L2（调度层）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320" w:lineRule="auto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Agent 调度层</w:t>
            </w:r>
          </w:p>
        </w:tc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320" w:lineRule="auto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任务分解、状态机管理、模块协调、异常处理</w:t>
            </w:r>
          </w:p>
        </w:tc>
        <w:tc>
          <w:tcPr>
            <w:tcW w:type="dxa" w:w="270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320" w:lineRule="auto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ROS2 Action/Service、行为树</w:t>
            </w:r>
          </w:p>
        </w:tc>
      </w:tr>
      <w:tr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320" w:lineRule="auto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L3（执行层）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320" w:lineRule="auto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具身执行层</w:t>
            </w:r>
          </w:p>
        </w:tc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320" w:lineRule="auto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底盘导航、机械臂控制、视觉感知、末端模块驱动</w:t>
            </w:r>
          </w:p>
        </w:tc>
        <w:tc>
          <w:tcPr>
            <w:tcW w:type="dxa" w:w="270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320" w:lineRule="auto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Nav2、MoveIt2、YOLO-tiny、I2C/CAN</w:t>
            </w:r>
          </w:p>
        </w:tc>
      </w:tr>
      <w:tr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320" w:lineRule="auto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L4（反馈层）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320" w:lineRule="auto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MR 空间反馈层</w:t>
            </w:r>
          </w:p>
        </w:tc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320" w:lineRule="auto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接收传感器数据，渲染路径/状态AR叠加层，闭环回传视觉反馈</w:t>
            </w:r>
          </w:p>
        </w:tc>
        <w:tc>
          <w:tcPr>
            <w:tcW w:type="dxa" w:w="270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320" w:lineRule="auto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Meta Quest 3、Unity SDK、ROS2 Bridge</w:t>
            </w:r>
          </w:p>
        </w:tc>
      </w:tr>
    </w:tbl>
    <w:p>
      <w:pPr>
        <w:spacing w:before="0" w:after="0" w:line="240" w:lineRule="auto"/>
      </w:pPr>
      <w:r>
        <w:rPr>
          <w:rFonts w:ascii="宋体" w:cs="宋体" w:eastAsia="宋体" w:hAnsi="宋体"/>
          <w:color w:val="000000"/>
          <w:sz w:val="21"/>
          <w:szCs w:val="21"/>
        </w:rPr>
        <w:t xml:space="preserve"/>
      </w:r>
    </w:p>
    <w:p>
      <w:pPr>
        <w:spacing w:before="0" w:after="0" w:line="360" w:lineRule="auto"/>
        <w:ind w:firstLine="420"/>
      </w:pPr>
      <w:r>
        <w:rPr>
          <w:rFonts w:ascii="宋体" w:cs="宋体" w:eastAsia="宋体" w:hAnsi="宋体"/>
          <w:color w:val="000000"/>
          <w:sz w:val="21"/>
          <w:szCs w:val="21"/>
        </w:rPr>
        <w:t xml:space="preserve">闭环说明：操作者通过 Meta Quest 3 感知 MR 空间反馈（路径预览、任务状态）→ 调整注意力集中程度 → BCI 捕获专注度变化 → 触发或调节下一轮指令 → 循环。</w:t>
      </w:r>
    </w:p>
    <w:p>
      <w:pPr>
        <w:spacing w:before="0" w:after="0" w:line="240" w:lineRule="auto"/>
      </w:pPr>
      <w:r>
        <w:rPr>
          <w:rFonts w:ascii="宋体" w:cs="宋体" w:eastAsia="宋体" w:hAnsi="宋体"/>
          <w:color w:val="000000"/>
          <w:sz w:val="21"/>
          <w:szCs w:val="21"/>
        </w:rPr>
        <w:t xml:space="preserve"/>
      </w:r>
    </w:p>
    <w:p>
      <w:pPr>
        <w:pStyle w:val="Heading2"/>
        <w:spacing w:before="160" w:after="80" w:line="360" w:lineRule="auto"/>
      </w:pPr>
      <w:r>
        <w:rPr>
          <w:rFonts w:ascii="黑体" w:cs="黑体" w:eastAsia="黑体" w:hAnsi="黑体"/>
          <w:b/>
          <w:bCs/>
          <w:color w:val="000000"/>
          <w:sz w:val="21"/>
          <w:szCs w:val="21"/>
        </w:rPr>
        <w:t xml:space="preserve">4.2  总体技术路线</w:t>
      </w:r>
    </w:p>
    <w:p>
      <w:pPr>
        <w:pStyle w:val="ListParagraph"/>
        <w:numPr>
          <w:ilvl w:val="0"/>
          <w:numId w:val="2"/>
        </w:numPr>
        <w:spacing w:before="0" w:after="80" w:line="360" w:lineRule="auto"/>
      </w:pPr>
      <w:r>
        <w:rPr>
          <w:rFonts w:ascii="宋体" w:cs="宋体" w:eastAsia="宋体" w:hAnsi="宋体"/>
          <w:b/>
          <w:bCs/>
          <w:color w:val="000000"/>
          <w:sz w:val="21"/>
          <w:szCs w:val="21"/>
        </w:rPr>
        <w:t xml:space="preserve">支撑层先行：</w:t>
      </w:r>
      <w:r>
        <w:rPr>
          <w:rFonts w:ascii="宋体" w:cs="宋体" w:eastAsia="宋体" w:hAnsi="宋体"/>
          <w:color w:val="000000"/>
          <w:sz w:val="21"/>
          <w:szCs w:val="21"/>
        </w:rPr>
        <w:t xml:space="preserve">优先完成驱动层与 ROS2 节点封装（底盘、雷达、IMU），建立稳定的硬件抽象层。底盘驱动已完成，下一步为 URDF 建模与 ROS2 节点封装。</w:t>
      </w:r>
    </w:p>
    <w:p>
      <w:pPr>
        <w:pStyle w:val="ListParagraph"/>
        <w:numPr>
          <w:ilvl w:val="0"/>
          <w:numId w:val="2"/>
        </w:numPr>
        <w:spacing w:before="0" w:after="80" w:line="360" w:lineRule="auto"/>
      </w:pPr>
      <w:r>
        <w:rPr>
          <w:rFonts w:ascii="宋体" w:cs="宋体" w:eastAsia="宋体" w:hAnsi="宋体"/>
          <w:b/>
          <w:bCs/>
          <w:color w:val="000000"/>
          <w:sz w:val="21"/>
          <w:szCs w:val="21"/>
        </w:rPr>
        <w:t xml:space="preserve">MVP 渐进式迭代：</w:t>
      </w:r>
      <w:r>
        <w:rPr>
          <w:rFonts w:ascii="宋体" w:cs="宋体" w:eastAsia="宋体" w:hAnsi="宋体"/>
          <w:color w:val="000000"/>
          <w:sz w:val="21"/>
          <w:szCs w:val="21"/>
        </w:rPr>
        <w:t xml:space="preserve">按"底盘自主→视觉抓取→系统集成→BCI接入→MR闭环"顺序推进，每阶段输出可独立验收的 Demo，降低后期集成风险。</w:t>
      </w:r>
    </w:p>
    <w:p>
      <w:pPr>
        <w:pStyle w:val="ListParagraph"/>
        <w:numPr>
          <w:ilvl w:val="0"/>
          <w:numId w:val="2"/>
        </w:numPr>
        <w:spacing w:before="0" w:after="80" w:line="360" w:lineRule="auto"/>
      </w:pPr>
      <w:r>
        <w:rPr>
          <w:rFonts w:ascii="宋体" w:cs="宋体" w:eastAsia="宋体" w:hAnsi="宋体"/>
          <w:b/>
          <w:bCs/>
          <w:color w:val="000000"/>
          <w:sz w:val="21"/>
          <w:szCs w:val="21"/>
        </w:rPr>
        <w:t xml:space="preserve">接口契约优先：</w:t>
      </w:r>
      <w:r>
        <w:rPr>
          <w:rFonts w:ascii="宋体" w:cs="宋体" w:eastAsia="宋体" w:hAnsi="宋体"/>
          <w:color w:val="000000"/>
          <w:sz w:val="21"/>
          <w:szCs w:val="21"/>
        </w:rPr>
        <w:t xml:space="preserve">所有模块通过约定的 ROS2 Topic/Action/Service 接口互联，接口定义一旦确定不随实现变化，保证模块可独立开发与测试。</w:t>
      </w:r>
    </w:p>
    <w:p>
      <w:pPr>
        <w:pStyle w:val="ListParagraph"/>
        <w:numPr>
          <w:ilvl w:val="0"/>
          <w:numId w:val="2"/>
        </w:numPr>
        <w:spacing w:before="0" w:after="80" w:line="360" w:lineRule="auto"/>
      </w:pPr>
      <w:r>
        <w:rPr>
          <w:rFonts w:ascii="宋体" w:cs="宋体" w:eastAsia="宋体" w:hAnsi="宋体"/>
          <w:b/>
          <w:bCs/>
          <w:color w:val="000000"/>
          <w:sz w:val="21"/>
          <w:szCs w:val="21"/>
        </w:rPr>
        <w:t xml:space="preserve">分层调试工具：</w:t>
      </w:r>
      <w:r>
        <w:rPr>
          <w:rFonts w:ascii="宋体" w:cs="宋体" w:eastAsia="宋体" w:hAnsi="宋体"/>
          <w:color w:val="000000"/>
          <w:sz w:val="21"/>
          <w:szCs w:val="21"/>
        </w:rPr>
        <w:t xml:space="preserve">已构建 FastAPI + SPA 调试面板，支持底盘实时控制、IMU 数据监控、雷达可视化，贯穿全开发周期加速调试效率。</w:t>
      </w:r>
    </w:p>
    <w:p>
      <w:pPr>
        <w:pStyle w:val="Heading2"/>
        <w:spacing w:before="160" w:after="80" w:line="360" w:lineRule="auto"/>
      </w:pPr>
      <w:r>
        <w:rPr>
          <w:rFonts w:ascii="黑体" w:cs="黑体" w:eastAsia="黑体" w:hAnsi="黑体"/>
          <w:b/>
          <w:bCs/>
          <w:color w:val="000000"/>
          <w:sz w:val="21"/>
          <w:szCs w:val="21"/>
        </w:rPr>
        <w:t xml:space="preserve">4.3  硬件平台</w:t>
      </w:r>
    </w:p>
    <w:p>
      <w:pPr>
        <w:spacing w:before="0" w:after="0" w:line="360" w:lineRule="auto"/>
        <w:ind w:firstLine="420"/>
      </w:pPr>
      <w:r>
        <w:rPr>
          <w:rFonts w:ascii="宋体" w:cs="宋体" w:eastAsia="宋体" w:hAnsi="宋体"/>
          <w:color w:val="000000"/>
          <w:sz w:val="21"/>
          <w:szCs w:val="21"/>
        </w:rPr>
        <w:t xml:space="preserve">本课题依托已有的实体硬件平台开展研究，主要硬件配置如下：</w:t>
      </w:r>
    </w:p>
    <w:p>
      <w:pPr>
        <w:spacing w:before="0" w:after="0" w:line="240" w:lineRule="auto"/>
      </w:pPr>
      <w:r>
        <w:rPr>
          <w:rFonts w:ascii="宋体" w:cs="宋体" w:eastAsia="宋体" w:hAnsi="宋体"/>
          <w:color w:val="000000"/>
          <w:sz w:val="21"/>
          <w:szCs w:val="21"/>
        </w:rPr>
        <w:t xml:space="preserve"/>
      </w:r>
    </w:p>
    <w:tbl>
      <w:tblPr>
        <w:tblW w:type="dxa" w:w="7506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auto" w:sz="4"/>
          <w:insideV w:val="single" w:color="auto" w:sz="4"/>
        </w:tblBorders>
      </w:tblPr>
      <w:tblGrid>
        <w:gridCol w:w="2000"/>
        <w:gridCol w:w="3606"/>
        <w:gridCol w:w="1900"/>
      </w:tblGrid>
      <w:tr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320" w:lineRule="auto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硬件模块</w:t>
            </w:r>
          </w:p>
        </w:tc>
        <w:tc>
          <w:tcPr>
            <w:tcW w:type="dxa" w:w="360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320" w:lineRule="auto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型号/参数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320" w:lineRule="auto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当前状态</w:t>
            </w:r>
          </w:p>
        </w:tc>
      </w:tr>
      <w:tr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320" w:lineRule="auto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主控计算机</w:t>
            </w:r>
          </w:p>
        </w:tc>
        <w:tc>
          <w:tcPr>
            <w:tcW w:type="dxa" w:w="360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320" w:lineRule="auto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RDK X5（地瓜机器人），运行 Ubuntu + ROS2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320" w:lineRule="auto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已到位</w:t>
            </w:r>
          </w:p>
        </w:tc>
      </w:tr>
      <w:tr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320" w:lineRule="auto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底盘驱动</w:t>
            </w:r>
          </w:p>
        </w:tc>
        <w:tc>
          <w:tcPr>
            <w:tcW w:type="dxa" w:w="360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320" w:lineRule="auto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I2C 4路电机驱动板，轮距 160mm，轮径 65mm，减速比 30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320" w:lineRule="auto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已调通</w:t>
            </w:r>
          </w:p>
        </w:tc>
      </w:tr>
      <w:tr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320" w:lineRule="auto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IMU</w:t>
            </w:r>
          </w:p>
        </w:tc>
        <w:tc>
          <w:tcPr>
            <w:tcW w:type="dxa" w:w="360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320" w:lineRule="auto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BNO055，I2C Bus 5，地址 0x29，输出四元数姿态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320" w:lineRule="auto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已调通</w:t>
            </w:r>
          </w:p>
        </w:tc>
      </w:tr>
      <w:tr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320" w:lineRule="auto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激光雷达</w:t>
            </w:r>
          </w:p>
        </w:tc>
        <w:tc>
          <w:tcPr>
            <w:tcW w:type="dxa" w:w="360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320" w:lineRule="auto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RPLIDAR S1，串口 /dev/ttyS1，波特率 256000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320" w:lineRule="auto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串口连通，ROS2驱动待封装</w:t>
            </w:r>
          </w:p>
        </w:tc>
      </w:tr>
      <w:tr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320" w:lineRule="auto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摄像头</w:t>
            </w:r>
          </w:p>
        </w:tc>
        <w:tc>
          <w:tcPr>
            <w:tcW w:type="dxa" w:w="360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320" w:lineRule="auto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USB 摄像头，640×480，MJPEG 流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320" w:lineRule="auto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已调通</w:t>
            </w:r>
          </w:p>
        </w:tc>
      </w:tr>
      <w:tr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320" w:lineRule="auto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机械臂</w:t>
            </w:r>
          </w:p>
        </w:tc>
        <w:tc>
          <w:tcPr>
            <w:tcW w:type="dxa" w:w="360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320" w:lineRule="auto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待确认型号，关节控制方案待定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320" w:lineRule="auto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待接入</w:t>
            </w:r>
          </w:p>
        </w:tc>
      </w:tr>
      <w:tr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320" w:lineRule="auto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MR眼镜</w:t>
            </w:r>
          </w:p>
        </w:tc>
        <w:tc>
          <w:tcPr>
            <w:tcW w:type="dxa" w:w="360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320" w:lineRule="auto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Meta Quest 3（视频透传MR，OpenXR/Unity XR Toolkit）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320" w:lineRule="auto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新增核心硬件，待采购</w:t>
            </w:r>
          </w:p>
        </w:tc>
      </w:tr>
      <w:tr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320" w:lineRule="auto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EEG 设备</w:t>
            </w:r>
          </w:p>
        </w:tc>
        <w:tc>
          <w:tcPr>
            <w:tcW w:type="dxa" w:w="360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320" w:lineRule="auto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NeuroSky MindWave / Emotiv Insight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320" w:lineRule="auto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第五阶段接入</w:t>
            </w:r>
          </w:p>
        </w:tc>
      </w:tr>
    </w:tbl>
    <w:p>
      <w:pPr>
        <w:spacing w:before="0" w:after="0" w:line="240" w:lineRule="auto"/>
      </w:pPr>
      <w:r>
        <w:rPr>
          <w:rFonts w:ascii="宋体" w:cs="宋体" w:eastAsia="宋体" w:hAnsi="宋体"/>
          <w:color w:val="000000"/>
          <w:sz w:val="21"/>
          <w:szCs w:val="21"/>
        </w:rPr>
        <w:t xml:space="preserve"/>
      </w:r>
    </w:p>
    <w:p>
      <w:pPr>
        <w:pStyle w:val="Heading2"/>
        <w:spacing w:before="160" w:after="80" w:line="360" w:lineRule="auto"/>
      </w:pPr>
      <w:r>
        <w:rPr>
          <w:rFonts w:ascii="黑体" w:cs="黑体" w:eastAsia="黑体" w:hAnsi="黑体"/>
          <w:b/>
          <w:bCs/>
          <w:color w:val="000000"/>
          <w:sz w:val="21"/>
          <w:szCs w:val="21"/>
        </w:rPr>
        <w:t xml:space="preserve">4.4  软件技术栈</w:t>
      </w:r>
    </w:p>
    <w:p>
      <w:pPr>
        <w:pStyle w:val="ListParagraph"/>
        <w:numPr>
          <w:ilvl w:val="0"/>
          <w:numId w:val="2"/>
        </w:numPr>
        <w:spacing w:before="0" w:after="80" w:line="360" w:lineRule="auto"/>
      </w:pPr>
      <w:r>
        <w:rPr>
          <w:rFonts w:ascii="宋体" w:cs="宋体" w:eastAsia="宋体" w:hAnsi="宋体"/>
          <w:b/>
          <w:bCs/>
          <w:color w:val="000000"/>
          <w:sz w:val="21"/>
          <w:szCs w:val="21"/>
        </w:rPr>
        <w:t xml:space="preserve">机器人中间件：</w:t>
      </w:r>
      <w:r>
        <w:rPr>
          <w:rFonts w:ascii="宋体" w:cs="宋体" w:eastAsia="宋体" w:hAnsi="宋体"/>
          <w:color w:val="000000"/>
          <w:sz w:val="21"/>
          <w:szCs w:val="21"/>
        </w:rPr>
        <w:t xml:space="preserve">ROS2 Humble，用于模块间通信（Topic/Action/Service/TF2）。</w:t>
      </w:r>
    </w:p>
    <w:p>
      <w:pPr>
        <w:pStyle w:val="ListParagraph"/>
        <w:numPr>
          <w:ilvl w:val="0"/>
          <w:numId w:val="2"/>
        </w:numPr>
        <w:spacing w:before="0" w:after="80" w:line="360" w:lineRule="auto"/>
      </w:pPr>
      <w:r>
        <w:rPr>
          <w:rFonts w:ascii="宋体" w:cs="宋体" w:eastAsia="宋体" w:hAnsi="宋体"/>
          <w:b/>
          <w:bCs/>
          <w:color w:val="000000"/>
          <w:sz w:val="21"/>
          <w:szCs w:val="21"/>
        </w:rPr>
        <w:t xml:space="preserve">导航与建图：</w:t>
      </w:r>
      <w:r>
        <w:rPr>
          <w:rFonts w:ascii="宋体" w:cs="宋体" w:eastAsia="宋体" w:hAnsi="宋体"/>
          <w:color w:val="000000"/>
          <w:sz w:val="21"/>
          <w:szCs w:val="21"/>
        </w:rPr>
        <w:t xml:space="preserve">SLAM Toolbox（激光雷达建图）+ Nav2（A* 全局规划 + DWA 局部规划）。</w:t>
      </w:r>
    </w:p>
    <w:p>
      <w:pPr>
        <w:pStyle w:val="ListParagraph"/>
        <w:numPr>
          <w:ilvl w:val="0"/>
          <w:numId w:val="2"/>
        </w:numPr>
        <w:spacing w:before="0" w:after="80" w:line="360" w:lineRule="auto"/>
      </w:pPr>
      <w:r>
        <w:rPr>
          <w:rFonts w:ascii="宋体" w:cs="宋体" w:eastAsia="宋体" w:hAnsi="宋体"/>
          <w:b/>
          <w:bCs/>
          <w:color w:val="000000"/>
          <w:sz w:val="21"/>
          <w:szCs w:val="21"/>
        </w:rPr>
        <w:t xml:space="preserve">视觉感知：</w:t>
      </w:r>
      <w:r>
        <w:rPr>
          <w:rFonts w:ascii="宋体" w:cs="宋体" w:eastAsia="宋体" w:hAnsi="宋体"/>
          <w:color w:val="000000"/>
          <w:sz w:val="21"/>
          <w:szCs w:val="21"/>
        </w:rPr>
        <w:t xml:space="preserve">OpenCV（图像处理）+ YOLO-tiny / MobileNetV3（轻量目标检测）。</w:t>
      </w:r>
    </w:p>
    <w:p>
      <w:pPr>
        <w:pStyle w:val="ListParagraph"/>
        <w:numPr>
          <w:ilvl w:val="0"/>
          <w:numId w:val="2"/>
        </w:numPr>
        <w:spacing w:before="0" w:after="80" w:line="360" w:lineRule="auto"/>
      </w:pPr>
      <w:r>
        <w:rPr>
          <w:rFonts w:ascii="宋体" w:cs="宋体" w:eastAsia="宋体" w:hAnsi="宋体"/>
          <w:b/>
          <w:bCs/>
          <w:color w:val="000000"/>
          <w:sz w:val="21"/>
          <w:szCs w:val="21"/>
        </w:rPr>
        <w:t xml:space="preserve">操作臂控制：</w:t>
      </w:r>
      <w:r>
        <w:rPr>
          <w:rFonts w:ascii="宋体" w:cs="宋体" w:eastAsia="宋体" w:hAnsi="宋体"/>
          <w:color w:val="000000"/>
          <w:sz w:val="21"/>
          <w:szCs w:val="21"/>
        </w:rPr>
        <w:t xml:space="preserve">MoveIt2（运动规划）或自定义逆运动学（依机械臂型号确定）。</w:t>
      </w:r>
    </w:p>
    <w:p>
      <w:pPr>
        <w:pStyle w:val="ListParagraph"/>
        <w:numPr>
          <w:ilvl w:val="0"/>
          <w:numId w:val="2"/>
        </w:numPr>
        <w:spacing w:before="0" w:after="80" w:line="360" w:lineRule="auto"/>
      </w:pPr>
      <w:r>
        <w:rPr>
          <w:rFonts w:ascii="宋体" w:cs="宋体" w:eastAsia="宋体" w:hAnsi="宋体"/>
          <w:b/>
          <w:bCs/>
          <w:color w:val="000000"/>
          <w:sz w:val="21"/>
          <w:szCs w:val="21"/>
        </w:rPr>
        <w:t xml:space="preserve">MR 开发：</w:t>
      </w:r>
      <w:r>
        <w:rPr>
          <w:rFonts w:ascii="宋体" w:cs="宋体" w:eastAsia="宋体" w:hAnsi="宋体"/>
          <w:color w:val="000000"/>
          <w:sz w:val="21"/>
          <w:szCs w:val="21"/>
        </w:rPr>
        <w:t xml:space="preserve">Unity + Meta Quest 3 SDK，通过 ROS2 For Unity 或 WebSocket Bridge 与 RDK X5 通信，渲染路径预览与任务状态 HUD。</w:t>
      </w:r>
    </w:p>
    <w:p>
      <w:pPr>
        <w:pStyle w:val="ListParagraph"/>
        <w:numPr>
          <w:ilvl w:val="0"/>
          <w:numId w:val="2"/>
        </w:numPr>
        <w:spacing w:before="0" w:after="80" w:line="360" w:lineRule="auto"/>
      </w:pPr>
      <w:r>
        <w:rPr>
          <w:rFonts w:ascii="宋体" w:cs="宋体" w:eastAsia="宋体" w:hAnsi="宋体"/>
          <w:b/>
          <w:bCs/>
          <w:color w:val="000000"/>
          <w:sz w:val="21"/>
          <w:szCs w:val="21"/>
        </w:rPr>
        <w:t xml:space="preserve">开发语言：</w:t>
      </w:r>
      <w:r>
        <w:rPr>
          <w:rFonts w:ascii="宋体" w:cs="宋体" w:eastAsia="宋体" w:hAnsi="宋体"/>
          <w:color w:val="000000"/>
          <w:sz w:val="21"/>
          <w:szCs w:val="21"/>
        </w:rPr>
        <w:t xml:space="preserve">Python 3.10（Agent 调度、BCI 接入、ROS2 节点）+ C++17（实时控制节点）+ C#（Unity MR 应用）。</w:t>
      </w:r>
    </w:p>
    <w:p>
      <w:pPr>
        <w:spacing w:before="0" w:after="0" w:line="240" w:lineRule="auto"/>
      </w:pPr>
      <w:r>
        <w:rPr>
          <w:rFonts w:ascii="宋体" w:cs="宋体" w:eastAsia="宋体" w:hAnsi="宋体"/>
          <w:color w:val="000000"/>
          <w:sz w:val="21"/>
          <w:szCs w:val="21"/>
        </w:rPr>
        <w:t xml:space="preserve"/>
      </w:r>
    </w:p>
    <w:p>
      <w:pPr>
        <w:pStyle w:val="Heading1"/>
        <w:spacing w:before="200" w:after="100" w:line="480" w:lineRule="auto"/>
      </w:pPr>
      <w:r>
        <w:rPr>
          <w:rFonts w:ascii="黑体" w:cs="黑体" w:eastAsia="黑体" w:hAnsi="黑体"/>
          <w:b/>
          <w:bCs/>
          <w:color w:val="000000"/>
          <w:sz w:val="28"/>
          <w:szCs w:val="28"/>
        </w:rPr>
        <w:t xml:space="preserve">五、研究进度安排</w:t>
      </w:r>
    </w:p>
    <w:p>
      <w:pPr>
        <w:spacing w:before="0" w:after="0" w:line="360" w:lineRule="auto"/>
        <w:ind w:firstLine="420"/>
      </w:pPr>
      <w:r>
        <w:rPr>
          <w:rFonts w:ascii="宋体" w:cs="宋体" w:eastAsia="宋体" w:hAnsi="宋体"/>
          <w:color w:val="000000"/>
          <w:sz w:val="21"/>
          <w:szCs w:val="21"/>
        </w:rPr>
        <w:t xml:space="preserve">本课题研究周期为 12 个月，采用 MVP 渐进式推进策略，具体进度安排如下：</w:t>
      </w:r>
    </w:p>
    <w:p>
      <w:pPr>
        <w:spacing w:before="0" w:after="0" w:line="240" w:lineRule="auto"/>
      </w:pPr>
      <w:r>
        <w:rPr>
          <w:rFonts w:ascii="宋体" w:cs="宋体" w:eastAsia="宋体" w:hAnsi="宋体"/>
          <w:color w:val="000000"/>
          <w:sz w:val="21"/>
          <w:szCs w:val="21"/>
        </w:rPr>
        <w:t xml:space="preserve"/>
      </w:r>
    </w:p>
    <w:tbl>
      <w:tblPr>
        <w:tblW w:type="dxa" w:w="8506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auto" w:sz="4"/>
          <w:insideV w:val="single" w:color="auto" w:sz="4"/>
        </w:tblBorders>
      </w:tblPr>
      <w:tblGrid>
        <w:gridCol w:w="1700"/>
        <w:gridCol w:w="1100"/>
        <w:gridCol w:w="3200"/>
        <w:gridCol w:w="2506"/>
      </w:tblGrid>
      <w:tr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20" w:lineRule="auto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19"/>
                <w:szCs w:val="19"/>
              </w:rPr>
              <w:t xml:space="preserve">阶段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20" w:lineRule="auto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19"/>
                <w:szCs w:val="19"/>
              </w:rPr>
              <w:t xml:space="preserve">时间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20" w:lineRule="auto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19"/>
                <w:szCs w:val="19"/>
              </w:rPr>
              <w:t xml:space="preserve">主要任务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20" w:lineRule="auto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19"/>
                <w:szCs w:val="19"/>
              </w:rPr>
              <w:t xml:space="preserve">交付物</w:t>
            </w:r>
          </w:p>
        </w:tc>
      </w:tr>
      <w:tr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2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9"/>
                <w:szCs w:val="19"/>
              </w:rPr>
              <w:t xml:space="preserve">第零阶段（补课）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2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9"/>
                <w:szCs w:val="19"/>
              </w:rPr>
              <w:t xml:space="preserve">第 1~2 周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2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9"/>
                <w:szCs w:val="19"/>
              </w:rPr>
              <w:t xml:space="preserve">URDF建模；底盘ROS2节点封装；激光雷达ROS2驱动接入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2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9"/>
                <w:szCs w:val="19"/>
              </w:rPr>
              <w:t xml:space="preserve">RViz中车体与雷达数据正常显示</w:t>
            </w:r>
          </w:p>
        </w:tc>
      </w:tr>
      <w:tr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2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9"/>
                <w:szCs w:val="19"/>
              </w:rPr>
              <w:t xml:space="preserve">第一阶段 SLAM与导航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2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9"/>
                <w:szCs w:val="19"/>
              </w:rPr>
              <w:t xml:space="preserve">第 3~6 周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2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9"/>
                <w:szCs w:val="19"/>
              </w:rPr>
              <w:t xml:space="preserve">SLAM Toolbox室内建图；Nav2路径规划；动态避障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2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9"/>
                <w:szCs w:val="19"/>
              </w:rPr>
              <w:t xml:space="preserve">底盘在真实场景自主导航，精度±10cm</w:t>
            </w:r>
          </w:p>
        </w:tc>
      </w:tr>
      <w:tr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2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9"/>
                <w:szCs w:val="19"/>
              </w:rPr>
              <w:t xml:space="preserve">第二阶段 机械臂接入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2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9"/>
                <w:szCs w:val="19"/>
              </w:rPr>
              <w:t xml:space="preserve">第 7~11 周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2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9"/>
                <w:szCs w:val="19"/>
              </w:rPr>
              <w:t xml:space="preserve">机械臂驱动；关节控制；手眼标定；末端快换模块ID电路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2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9"/>
                <w:szCs w:val="19"/>
              </w:rPr>
              <w:t xml:space="preserve">机械臂预设动作完成；末端自动识别</w:t>
            </w:r>
          </w:p>
        </w:tc>
      </w:tr>
      <w:tr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2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9"/>
                <w:szCs w:val="19"/>
              </w:rPr>
              <w:t xml:space="preserve">第三阶段 视觉抓取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2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9"/>
                <w:szCs w:val="19"/>
              </w:rPr>
              <w:t xml:space="preserve">第 12~16 周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2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9"/>
                <w:szCs w:val="19"/>
              </w:rPr>
              <w:t xml:space="preserve">YOLO目标检测；像素坐标标定；抓取闭环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2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9"/>
                <w:szCs w:val="19"/>
              </w:rPr>
              <w:t xml:space="preserve">静态目标识别并抓取，成功率≥70%</w:t>
            </w:r>
          </w:p>
        </w:tc>
      </w:tr>
      <w:tr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2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9"/>
                <w:szCs w:val="19"/>
              </w:rPr>
              <w:t xml:space="preserve">第四阶段 系统集成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2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9"/>
                <w:szCs w:val="19"/>
              </w:rPr>
              <w:t xml:space="preserve">第 17~24 周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2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9"/>
                <w:szCs w:val="19"/>
              </w:rPr>
              <w:t xml:space="preserve">Agent任务调度层；行为树；底盘+机械臂联合调试；端到端搬运Demo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2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9"/>
                <w:szCs w:val="19"/>
              </w:rPr>
              <w:t xml:space="preserve">搬运Demo（手动触发），成功率≥80%</w:t>
            </w:r>
          </w:p>
        </w:tc>
      </w:tr>
      <w:tr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2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9"/>
                <w:szCs w:val="19"/>
              </w:rPr>
              <w:t xml:space="preserve">第五阶段 BCI接入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2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9"/>
                <w:szCs w:val="19"/>
              </w:rPr>
              <w:t xml:space="preserve">第 25~30 周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2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9"/>
                <w:szCs w:val="19"/>
              </w:rPr>
              <w:t xml:space="preserve">EEG设备SDK；专注度阈值检测；BCI接入Agent调度层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2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9"/>
                <w:szCs w:val="19"/>
              </w:rPr>
              <w:t xml:space="preserve">BCI触发搬运任务，延迟&lt;3s</w:t>
            </w:r>
          </w:p>
        </w:tc>
      </w:tr>
      <w:tr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2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9"/>
                <w:szCs w:val="19"/>
              </w:rPr>
              <w:t xml:space="preserve">第六阶段 MR反馈闭环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2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9"/>
                <w:szCs w:val="19"/>
              </w:rPr>
              <w:t xml:space="preserve">第 31~36 周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2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9"/>
                <w:szCs w:val="19"/>
              </w:rPr>
              <w:t xml:space="preserve">Meta Quest 3 + Unity开发AR覆盖层；ROS2 Bridge数据通信；路径预览+任务状态HUD；四层闭环联调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2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9"/>
                <w:szCs w:val="19"/>
              </w:rPr>
              <w:t xml:space="preserve">BCI触发+MR实时反馈，四层闭环端到端成功率≥70%</w:t>
            </w:r>
          </w:p>
        </w:tc>
      </w:tr>
      <w:tr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2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9"/>
                <w:szCs w:val="19"/>
              </w:rPr>
              <w:t xml:space="preserve">第七阶段 优化演示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2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9"/>
                <w:szCs w:val="19"/>
              </w:rPr>
              <w:t xml:space="preserve">第 37~48 周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2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9"/>
                <w:szCs w:val="19"/>
              </w:rPr>
              <w:t xml:space="preserve">性能优化；MR体验优化；Demo场景布置；演示视频；文档整理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20" w:lineRule="auto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9"/>
                <w:szCs w:val="19"/>
              </w:rPr>
              <w:t xml:space="preserve">完整四层闭环Demo系统，可稳定演示</w:t>
            </w:r>
          </w:p>
        </w:tc>
      </w:tr>
    </w:tbl>
    <w:p>
      <w:pPr>
        <w:spacing w:before="0" w:after="0" w:line="240" w:lineRule="auto"/>
      </w:pPr>
      <w:r>
        <w:rPr>
          <w:rFonts w:ascii="宋体" w:cs="宋体" w:eastAsia="宋体" w:hAnsi="宋体"/>
          <w:color w:val="000000"/>
          <w:sz w:val="21"/>
          <w:szCs w:val="21"/>
        </w:rPr>
        <w:t xml:space="preserve"/>
      </w:r>
    </w:p>
    <w:p>
      <w:pPr>
        <w:spacing w:before="0" w:after="0" w:line="360" w:lineRule="auto"/>
        <w:ind w:firstLine="420"/>
      </w:pPr>
      <w:r>
        <w:rPr>
          <w:rFonts w:ascii="宋体" w:cs="宋体" w:eastAsia="宋体" w:hAnsi="宋体"/>
          <w:color w:val="000000"/>
          <w:sz w:val="21"/>
          <w:szCs w:val="21"/>
        </w:rPr>
        <w:t xml:space="preserve">注：各阶段时间节点为预估值，将根据开发进展适时调整，并向指导教师定期汇报里程碑完成情况。第六阶段（MR 反馈闭环）为本课题与同类研究最大的差异化阶段，优先级为 P1。</w:t>
      </w:r>
    </w:p>
    <w:p>
      <w:pPr>
        <w:spacing w:before="0" w:after="0" w:line="240" w:lineRule="auto"/>
      </w:pPr>
      <w:r>
        <w:rPr>
          <w:rFonts w:ascii="宋体" w:cs="宋体" w:eastAsia="宋体" w:hAnsi="宋体"/>
          <w:color w:val="000000"/>
          <w:sz w:val="21"/>
          <w:szCs w:val="21"/>
        </w:rPr>
        <w:t xml:space="preserve"/>
      </w:r>
    </w:p>
    <w:p>
      <w:pPr>
        <w:pStyle w:val="Heading1"/>
        <w:spacing w:before="200" w:after="100" w:line="480" w:lineRule="auto"/>
      </w:pPr>
      <w:r>
        <w:rPr>
          <w:rFonts w:ascii="黑体" w:cs="黑体" w:eastAsia="黑体" w:hAnsi="黑体"/>
          <w:b/>
          <w:bCs/>
          <w:color w:val="000000"/>
          <w:sz w:val="28"/>
          <w:szCs w:val="28"/>
        </w:rPr>
        <w:t xml:space="preserve">六、预期研究成果</w:t>
      </w:r>
    </w:p>
    <w:p>
      <w:pPr>
        <w:pStyle w:val="Heading2"/>
        <w:spacing w:before="160" w:after="80" w:line="360" w:lineRule="auto"/>
      </w:pPr>
      <w:r>
        <w:rPr>
          <w:rFonts w:ascii="黑体" w:cs="黑体" w:eastAsia="黑体" w:hAnsi="黑体"/>
          <w:b/>
          <w:bCs/>
          <w:color w:val="000000"/>
          <w:sz w:val="21"/>
          <w:szCs w:val="21"/>
        </w:rPr>
        <w:t xml:space="preserve">6.1  核心交付物</w:t>
      </w:r>
    </w:p>
    <w:p>
      <w:pPr>
        <w:pStyle w:val="ListParagraph"/>
        <w:numPr>
          <w:ilvl w:val="0"/>
          <w:numId w:val="2"/>
        </w:numPr>
        <w:spacing w:before="0" w:after="80" w:line="360" w:lineRule="auto"/>
      </w:pPr>
      <w:r>
        <w:rPr>
          <w:rFonts w:ascii="宋体" w:cs="宋体" w:eastAsia="宋体" w:hAnsi="宋体"/>
          <w:b/>
          <w:bCs/>
          <w:color w:val="000000"/>
          <w:sz w:val="21"/>
          <w:szCs w:val="21"/>
        </w:rPr>
        <w:t xml:space="preserve">实体原型系统：</w:t>
      </w:r>
      <w:r>
        <w:rPr>
          <w:rFonts w:ascii="宋体" w:cs="宋体" w:eastAsia="宋体" w:hAnsi="宋体"/>
          <w:color w:val="000000"/>
          <w:sz w:val="21"/>
          <w:szCs w:val="21"/>
        </w:rPr>
        <w:t xml:space="preserve">一套完整的"BCI × 具身智能 × MR"四层闭环移动操作臂原型机，能够稳定完成"EEG意图触发→Agent调度→底盘自主导航→视觉识别→机械臂抓取搬运→MR空间反馈"全流程演示。</w:t>
      </w:r>
    </w:p>
    <w:p>
      <w:pPr>
        <w:pStyle w:val="ListParagraph"/>
        <w:numPr>
          <w:ilvl w:val="0"/>
          <w:numId w:val="2"/>
        </w:numPr>
        <w:spacing w:before="0" w:after="80" w:line="360" w:lineRule="auto"/>
      </w:pPr>
      <w:r>
        <w:rPr>
          <w:rFonts w:ascii="宋体" w:cs="宋体" w:eastAsia="宋体" w:hAnsi="宋体"/>
          <w:b/>
          <w:bCs/>
          <w:color w:val="000000"/>
          <w:sz w:val="21"/>
          <w:szCs w:val="21"/>
        </w:rPr>
        <w:t xml:space="preserve">开源代码仓库：</w:t>
      </w:r>
      <w:r>
        <w:rPr>
          <w:rFonts w:ascii="宋体" w:cs="宋体" w:eastAsia="宋体" w:hAnsi="宋体"/>
          <w:color w:val="000000"/>
          <w:sz w:val="21"/>
          <w:szCs w:val="21"/>
        </w:rPr>
        <w:t xml:space="preserve">完整的工程代码，含分层架构源码（support/execution/functional/decision/application）、Unity MR 应用源码、配置文件、测试脚本及 Web 调试面板，已托管于 GitHub（ScineceTechAILab/2026-Jic_Competiion）。</w:t>
      </w:r>
    </w:p>
    <w:p>
      <w:pPr>
        <w:pStyle w:val="ListParagraph"/>
        <w:numPr>
          <w:ilvl w:val="0"/>
          <w:numId w:val="2"/>
        </w:numPr>
        <w:spacing w:before="0" w:after="80" w:line="360" w:lineRule="auto"/>
      </w:pPr>
      <w:r>
        <w:rPr>
          <w:rFonts w:ascii="宋体" w:cs="宋体" w:eastAsia="宋体" w:hAnsi="宋体"/>
          <w:b/>
          <w:bCs/>
          <w:color w:val="000000"/>
          <w:sz w:val="21"/>
          <w:szCs w:val="21"/>
        </w:rPr>
        <w:t xml:space="preserve">毕业论文：</w:t>
      </w:r>
      <w:r>
        <w:rPr>
          <w:rFonts w:ascii="宋体" w:cs="宋体" w:eastAsia="宋体" w:hAnsi="宋体"/>
          <w:color w:val="000000"/>
          <w:sz w:val="21"/>
          <w:szCs w:val="21"/>
        </w:rPr>
        <w:t xml:space="preserve">系统设计说明文档，涵盖四层闭环架构设计、关键算法说明、实验数据分析（抓取成功率、BCI触发延迟、MR刷新率等）及结论，字数不少于学院要求。</w:t>
      </w:r>
    </w:p>
    <w:p>
      <w:pPr>
        <w:pStyle w:val="ListParagraph"/>
        <w:numPr>
          <w:ilvl w:val="0"/>
          <w:numId w:val="2"/>
        </w:numPr>
        <w:spacing w:before="0" w:after="80" w:line="360" w:lineRule="auto"/>
      </w:pPr>
      <w:r>
        <w:rPr>
          <w:rFonts w:ascii="宋体" w:cs="宋体" w:eastAsia="宋体" w:hAnsi="宋体"/>
          <w:b/>
          <w:bCs/>
          <w:color w:val="000000"/>
          <w:sz w:val="21"/>
          <w:szCs w:val="21"/>
        </w:rPr>
        <w:t xml:space="preserve">演示视频：</w:t>
      </w:r>
      <w:r>
        <w:rPr>
          <w:rFonts w:ascii="宋体" w:cs="宋体" w:eastAsia="宋体" w:hAnsi="宋体"/>
          <w:color w:val="000000"/>
          <w:sz w:val="21"/>
          <w:szCs w:val="21"/>
        </w:rPr>
        <w:t xml:space="preserve">录制完整的系统运行演示视频，展示从 BCI 触发到 MR 反馈的四层闭环全过程。</w:t>
      </w:r>
    </w:p>
    <w:p>
      <w:pPr>
        <w:pStyle w:val="Heading2"/>
        <w:spacing w:before="160" w:after="80" w:line="360" w:lineRule="auto"/>
      </w:pPr>
      <w:r>
        <w:rPr>
          <w:rFonts w:ascii="黑体" w:cs="黑体" w:eastAsia="黑体" w:hAnsi="黑体"/>
          <w:b/>
          <w:bCs/>
          <w:color w:val="000000"/>
          <w:sz w:val="21"/>
          <w:szCs w:val="21"/>
        </w:rPr>
        <w:t xml:space="preserve">6.2  阶段性里程碑</w:t>
      </w:r>
    </w:p>
    <w:p>
      <w:pPr>
        <w:spacing w:before="0" w:after="0" w:line="240" w:lineRule="auto"/>
      </w:pPr>
      <w:r>
        <w:rPr>
          <w:rFonts w:ascii="宋体" w:cs="宋体" w:eastAsia="宋体" w:hAnsi="宋体"/>
          <w:color w:val="000000"/>
          <w:sz w:val="21"/>
          <w:szCs w:val="21"/>
        </w:rPr>
        <w:t xml:space="preserve"/>
      </w:r>
    </w:p>
    <w:tbl>
      <w:tblPr>
        <w:tblW w:type="dxa" w:w="8506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4306"/>
      </w:tblGrid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320" w:lineRule="auto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里程碑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320" w:lineRule="auto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时间节点</w:t>
            </w:r>
          </w:p>
        </w:tc>
        <w:tc>
          <w:tcPr>
            <w:tcW w:type="dxa" w:w="430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320" w:lineRule="auto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验收标准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320" w:lineRule="auto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M0 ROS2底盘节点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320" w:lineRule="auto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第 2 周末</w:t>
            </w:r>
          </w:p>
        </w:tc>
        <w:tc>
          <w:tcPr>
            <w:tcW w:type="dxa" w:w="430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320" w:lineRule="auto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URDF在RViz正常，/odom与/scan话题正常发布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320" w:lineRule="auto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M1 SLAM+自主导航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320" w:lineRule="auto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第 6 周末</w:t>
            </w:r>
          </w:p>
        </w:tc>
        <w:tc>
          <w:tcPr>
            <w:tcW w:type="dxa" w:w="430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320" w:lineRule="auto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室内自主建图完成，Nav2点到点导航成功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320" w:lineRule="auto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M2 机械臂基础控制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320" w:lineRule="auto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第 11 周末</w:t>
            </w:r>
          </w:p>
        </w:tc>
        <w:tc>
          <w:tcPr>
            <w:tcW w:type="dxa" w:w="430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320" w:lineRule="auto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机械臂完成预设动作，手眼标定完成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320" w:lineRule="auto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M3 视觉抓取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320" w:lineRule="auto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第 16 周末</w:t>
            </w:r>
          </w:p>
        </w:tc>
        <w:tc>
          <w:tcPr>
            <w:tcW w:type="dxa" w:w="430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320" w:lineRule="auto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静态目标识别并抓取，成功率 ≥ 70%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320" w:lineRule="auto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M4 搬运全流程Demo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320" w:lineRule="auto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第 24 周末</w:t>
            </w:r>
          </w:p>
        </w:tc>
        <w:tc>
          <w:tcPr>
            <w:tcW w:type="dxa" w:w="430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320" w:lineRule="auto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完整搬运，手动触发，成功率 ≥ 80%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320" w:lineRule="auto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M5 BCI触发联调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320" w:lineRule="auto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第 30 周末</w:t>
            </w:r>
          </w:p>
        </w:tc>
        <w:tc>
          <w:tcPr>
            <w:tcW w:type="dxa" w:w="430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320" w:lineRule="auto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EEG专注度阈值触发搬运，延迟 &lt; 3s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320" w:lineRule="auto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M6 四层闭环Demo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320" w:lineRule="auto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第 36 周末</w:t>
            </w:r>
          </w:p>
        </w:tc>
        <w:tc>
          <w:tcPr>
            <w:tcW w:type="dxa" w:w="430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320" w:lineRule="auto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BCI触发+MR实时反馈，端到端成功率 ≥ 70%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320" w:lineRule="auto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M7 最终演示就绪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320" w:lineRule="auto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第 48 周末</w:t>
            </w:r>
          </w:p>
        </w:tc>
        <w:tc>
          <w:tcPr>
            <w:tcW w:type="dxa" w:w="430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320" w:lineRule="auto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系统稳定，Demo视频完成，文档整理完毕</w:t>
            </w:r>
          </w:p>
        </w:tc>
      </w:tr>
    </w:tbl>
    <w:p>
      <w:pPr>
        <w:spacing w:before="0" w:after="0" w:line="240" w:lineRule="auto"/>
      </w:pPr>
      <w:r>
        <w:rPr>
          <w:rFonts w:ascii="宋体" w:cs="宋体" w:eastAsia="宋体" w:hAnsi="宋体"/>
          <w:color w:val="000000"/>
          <w:sz w:val="21"/>
          <w:szCs w:val="21"/>
        </w:rPr>
        <w:t xml:space="preserve"/>
      </w:r>
    </w:p>
    <w:p>
      <w:pPr>
        <w:pStyle w:val="Heading1"/>
        <w:spacing w:before="200" w:after="100" w:line="480" w:lineRule="auto"/>
      </w:pPr>
      <w:r>
        <w:rPr>
          <w:rFonts w:ascii="黑体" w:cs="黑体" w:eastAsia="黑体" w:hAnsi="黑体"/>
          <w:b/>
          <w:bCs/>
          <w:color w:val="000000"/>
          <w:sz w:val="28"/>
          <w:szCs w:val="28"/>
        </w:rPr>
        <w:t xml:space="preserve">七、可行性分析</w:t>
      </w:r>
    </w:p>
    <w:p>
      <w:pPr>
        <w:pStyle w:val="Heading2"/>
        <w:spacing w:before="160" w:after="80" w:line="360" w:lineRule="auto"/>
      </w:pPr>
      <w:r>
        <w:rPr>
          <w:rFonts w:ascii="黑体" w:cs="黑体" w:eastAsia="黑体" w:hAnsi="黑体"/>
          <w:b/>
          <w:bCs/>
          <w:color w:val="000000"/>
          <w:sz w:val="21"/>
          <w:szCs w:val="21"/>
        </w:rPr>
        <w:t xml:space="preserve">7.1  硬件可行性</w:t>
      </w:r>
    </w:p>
    <w:p>
      <w:pPr>
        <w:spacing w:before="0" w:after="0" w:line="360" w:lineRule="auto"/>
        <w:ind w:firstLine="420"/>
      </w:pPr>
      <w:r>
        <w:rPr>
          <w:rFonts w:ascii="宋体" w:cs="宋体" w:eastAsia="宋体" w:hAnsi="宋体"/>
          <w:color w:val="000000"/>
          <w:sz w:val="21"/>
          <w:szCs w:val="21"/>
        </w:rPr>
        <w:t xml:space="preserve">核心硬件平台已完成采购与初步调试：主控 RDK X5 已到位，底盘电机驱动、IMU（BNO055）、USB 摄像头均已调通，RPLIDAR S1 串口通信已验证。机械臂待确认型号，不影响其他模块并行推进。Meta Quest 3 支持 Unity SDK 开发，硬件能力满足 AR 叠加渲染需求。EEG 设备商用 SDK 成熟可用。</w:t>
      </w:r>
    </w:p>
    <w:p>
      <w:pPr>
        <w:pStyle w:val="Heading2"/>
        <w:spacing w:before="160" w:after="80" w:line="360" w:lineRule="auto"/>
      </w:pPr>
      <w:r>
        <w:rPr>
          <w:rFonts w:ascii="黑体" w:cs="黑体" w:eastAsia="黑体" w:hAnsi="黑体"/>
          <w:b/>
          <w:bCs/>
          <w:color w:val="000000"/>
          <w:sz w:val="21"/>
          <w:szCs w:val="21"/>
        </w:rPr>
        <w:t xml:space="preserve">7.2  软件可行性</w:t>
      </w:r>
    </w:p>
    <w:p>
      <w:pPr>
        <w:spacing w:before="0" w:after="0" w:line="360" w:lineRule="auto"/>
        <w:ind w:firstLine="420"/>
      </w:pPr>
      <w:r>
        <w:rPr>
          <w:rFonts w:ascii="宋体" w:cs="宋体" w:eastAsia="宋体" w:hAnsi="宋体"/>
          <w:color w:val="000000"/>
          <w:sz w:val="21"/>
          <w:szCs w:val="21"/>
        </w:rPr>
        <w:t xml:space="preserve">项目已建立完整的五层分层软件架构、日志系统、配置加载系统及 Web 调试面板，底层驱动代码质量较高（含单元测试脚本、SOP 文档）。ROS2 Humble、Nav2、MoveIt2 等框架均为成熟开源项目。Meta Quest 3 的 Unity SDK 提供了 C# API，与 ROS2 的 WebSocket Bridge 方案技术路径清晰。</w:t>
      </w:r>
    </w:p>
    <w:p>
      <w:pPr>
        <w:pStyle w:val="Heading2"/>
        <w:spacing w:before="160" w:after="80" w:line="360" w:lineRule="auto"/>
      </w:pPr>
      <w:r>
        <w:rPr>
          <w:rFonts w:ascii="黑体" w:cs="黑体" w:eastAsia="黑体" w:hAnsi="黑体"/>
          <w:b/>
          <w:bCs/>
          <w:color w:val="000000"/>
          <w:sz w:val="21"/>
          <w:szCs w:val="21"/>
        </w:rPr>
        <w:t xml:space="preserve">7.3  时间可行性</w:t>
      </w:r>
    </w:p>
    <w:p>
      <w:pPr>
        <w:spacing w:before="0" w:after="0" w:line="360" w:lineRule="auto"/>
        <w:ind w:firstLine="420"/>
      </w:pPr>
      <w:r>
        <w:rPr>
          <w:rFonts w:ascii="宋体" w:cs="宋体" w:eastAsia="宋体" w:hAnsi="宋体"/>
          <w:color w:val="000000"/>
          <w:sz w:val="21"/>
          <w:szCs w:val="21"/>
        </w:rPr>
        <w:t xml:space="preserve">课题研究周期 12 个月，按 MVP 渐进式策略推进，各阶段均有可独立验收的交付物。即便 MR 闭环阶段因时间紧张无法完成，第四阶段的"完整搬运 Demo（手动触发）"本身已是具备完整展示价值的成果，不影响毕业设计的完整性。M6 四层闭环 Demo 是最大亮点，在时间允许的情况下优先推进。</w:t>
      </w:r>
    </w:p>
    <w:p>
      <w:pPr>
        <w:pStyle w:val="Heading2"/>
        <w:spacing w:before="160" w:after="80" w:line="360" w:lineRule="auto"/>
      </w:pPr>
      <w:r>
        <w:rPr>
          <w:rFonts w:ascii="黑体" w:cs="黑体" w:eastAsia="黑体" w:hAnsi="黑体"/>
          <w:b/>
          <w:bCs/>
          <w:color w:val="000000"/>
          <w:sz w:val="21"/>
          <w:szCs w:val="21"/>
        </w:rPr>
        <w:t xml:space="preserve">7.4  主要风险与应对</w:t>
      </w:r>
    </w:p>
    <w:p>
      <w:pPr>
        <w:spacing w:before="0" w:after="0" w:line="240" w:lineRule="auto"/>
      </w:pPr>
      <w:r>
        <w:rPr>
          <w:rFonts w:ascii="宋体" w:cs="宋体" w:eastAsia="宋体" w:hAnsi="宋体"/>
          <w:color w:val="000000"/>
          <w:sz w:val="21"/>
          <w:szCs w:val="21"/>
        </w:rPr>
        <w:t xml:space="preserve"/>
      </w:r>
    </w:p>
    <w:tbl>
      <w:tblPr>
        <w:tblW w:type="dxa" w:w="8506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auto" w:sz="4"/>
          <w:insideV w:val="single" w:color="auto" w:sz="4"/>
        </w:tblBorders>
      </w:tblPr>
      <w:tblGrid>
        <w:gridCol w:w="3000"/>
        <w:gridCol w:w="5506"/>
      </w:tblGrid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320" w:lineRule="auto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风险项</w:t>
            </w:r>
          </w:p>
        </w:tc>
        <w:tc>
          <w:tcPr>
            <w:tcW w:type="dxa" w:w="550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320" w:lineRule="auto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应对策略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320" w:lineRule="auto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机械臂型号待确认，控制方案不明确</w:t>
            </w:r>
          </w:p>
        </w:tc>
        <w:tc>
          <w:tcPr>
            <w:tcW w:type="dxa" w:w="550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320" w:lineRule="auto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优先明确型号；根据型号选择 MoveIt2 或自研 IK；不影响其他模块并行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320" w:lineRule="auto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Meta Quest 3 SDK 适配困难</w:t>
            </w:r>
          </w:p>
        </w:tc>
        <w:tc>
          <w:tcPr>
            <w:tcW w:type="dxa" w:w="550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320" w:lineRule="auto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提前调研 SDK 文档与社区案例；备用方案：手机 ARCore 实现基础 AR 叠加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320" w:lineRule="auto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ROS2 Bridge 与 Unity 通信延迟高</w:t>
            </w:r>
          </w:p>
        </w:tc>
        <w:tc>
          <w:tcPr>
            <w:tcW w:type="dxa" w:w="550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320" w:lineRule="auto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WebSocket 直连优化；目标刷新率 ≥ 10Hz；降级为单向数据推送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320" w:lineRule="auto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EEG 信号质量差，触发不稳定</w:t>
            </w:r>
          </w:p>
        </w:tc>
        <w:tc>
          <w:tcPr>
            <w:tcW w:type="dxa" w:w="550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320" w:lineRule="auto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设置 2s 判定窗口；键盘作备用触发；BCI 不影响前四个里程碑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320" w:lineRule="auto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SLAM 建图漂移，导航定位失准</w:t>
            </w:r>
          </w:p>
        </w:tc>
        <w:tc>
          <w:tcPr>
            <w:tcW w:type="dxa" w:w="550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320" w:lineRule="auto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室内添加 AR 标记辅助；预存已知地图（仅定位模式）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320" w:lineRule="auto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四层闭环联调复杂度高</w:t>
            </w:r>
          </w:p>
        </w:tc>
        <w:tc>
          <w:tcPr>
            <w:tcW w:type="dxa" w:w="550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320" w:lineRule="auto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按接口契约分层测试；每层独立验收后再上下游集成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320" w:lineRule="auto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单人开发，单点瓶颈风险</w:t>
            </w:r>
          </w:p>
        </w:tc>
        <w:tc>
          <w:tcPr>
            <w:tcW w:type="dxa" w:w="550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320" w:lineRule="auto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严格按 MVP 推进；M4 搬运 Demo 已是完整成果</w:t>
            </w:r>
          </w:p>
        </w:tc>
      </w:tr>
    </w:tbl>
    <w:p>
      <w:pPr>
        <w:spacing w:before="0" w:after="0" w:line="240" w:lineRule="auto"/>
      </w:pPr>
      <w:r>
        <w:rPr>
          <w:rFonts w:ascii="宋体" w:cs="宋体" w:eastAsia="宋体" w:hAnsi="宋体"/>
          <w:color w:val="000000"/>
          <w:sz w:val="21"/>
          <w:szCs w:val="21"/>
        </w:rPr>
        <w:t xml:space="preserve"/>
      </w:r>
    </w:p>
    <w:p>
      <w:pPr>
        <w:pStyle w:val="Heading1"/>
        <w:spacing w:before="200" w:after="100" w:line="480" w:lineRule="auto"/>
      </w:pPr>
      <w:r>
        <w:rPr>
          <w:rFonts w:ascii="黑体" w:cs="黑体" w:eastAsia="黑体" w:hAnsi="黑体"/>
          <w:b/>
          <w:bCs/>
          <w:color w:val="000000"/>
          <w:sz w:val="28"/>
          <w:szCs w:val="28"/>
        </w:rPr>
        <w:t xml:space="preserve">八、参考文献</w:t>
      </w:r>
    </w:p>
    <w:p>
      <w:pPr>
        <w:spacing w:before="0" w:after="0" w:line="360" w:lineRule="auto"/>
        <w:ind w:firstLine="420"/>
      </w:pPr>
      <w:r>
        <w:rPr>
          <w:rFonts w:ascii="宋体" w:cs="宋体" w:eastAsia="宋体" w:hAnsi="宋体"/>
          <w:color w:val="000000"/>
          <w:sz w:val="21"/>
          <w:szCs w:val="21"/>
        </w:rPr>
        <w:t xml:space="preserve">[1] Macenski S, Foote T, Gerkey B, et al. Robot Operating System 2: Design, architecture, and uses in the wild[J]. Science Robotics, 2022, 7(66): eabm6074.</w:t>
      </w:r>
    </w:p>
    <w:p>
      <w:pPr>
        <w:spacing w:before="0" w:after="0" w:line="360" w:lineRule="auto"/>
        <w:ind w:firstLine="420"/>
      </w:pPr>
      <w:r>
        <w:rPr>
          <w:rFonts w:ascii="宋体" w:cs="宋体" w:eastAsia="宋体" w:hAnsi="宋体"/>
          <w:color w:val="000000"/>
          <w:sz w:val="21"/>
          <w:szCs w:val="21"/>
        </w:rPr>
        <w:t xml:space="preserve">[2] Macenski S, Singh S, Martí F, et al. Regulated pure pursuit for robot path tracking[J]. Autonomous Robots, 2023, 47(6): 685-694.</w:t>
      </w:r>
    </w:p>
    <w:p>
      <w:pPr>
        <w:spacing w:before="0" w:after="0" w:line="360" w:lineRule="auto"/>
        <w:ind w:firstLine="420"/>
      </w:pPr>
      <w:r>
        <w:rPr>
          <w:rFonts w:ascii="宋体" w:cs="宋体" w:eastAsia="宋体" w:hAnsi="宋体"/>
          <w:color w:val="000000"/>
          <w:sz w:val="21"/>
          <w:szCs w:val="21"/>
        </w:rPr>
        <w:t xml:space="preserve">[3] Hentout A, Aouache M, Maoudj A, et al. Human-robot interaction in industrial collaborative robotics: a literature review 2008-2017[J]. Advanced Robotics, 2019, 33(15-16): 764-799.</w:t>
      </w:r>
    </w:p>
    <w:p>
      <w:pPr>
        <w:spacing w:before="0" w:after="0" w:line="360" w:lineRule="auto"/>
        <w:ind w:firstLine="420"/>
      </w:pPr>
      <w:r>
        <w:rPr>
          <w:rFonts w:ascii="宋体" w:cs="宋体" w:eastAsia="宋体" w:hAnsi="宋体"/>
          <w:color w:val="000000"/>
          <w:sz w:val="21"/>
          <w:szCs w:val="21"/>
        </w:rPr>
        <w:t xml:space="preserve">[4] Wolpaw J R, Birbaumer N, McFarland D J, et al. Brain-computer interfaces for communication and control[J]. Clinical Neurophysiology, 2002, 113(6): 767-791.</w:t>
      </w:r>
    </w:p>
    <w:p>
      <w:pPr>
        <w:spacing w:before="0" w:after="0" w:line="360" w:lineRule="auto"/>
        <w:ind w:firstLine="420"/>
      </w:pPr>
      <w:r>
        <w:rPr>
          <w:rFonts w:ascii="宋体" w:cs="宋体" w:eastAsia="宋体" w:hAnsi="宋体"/>
          <w:color w:val="000000"/>
          <w:sz w:val="21"/>
          <w:szCs w:val="21"/>
        </w:rPr>
        <w:t xml:space="preserve">[5] Tangermann M, Müller K R, et al. Review of the BCI competition IV[J]. Frontiers in Neuroscience, 2012, 6: 55.</w:t>
      </w:r>
    </w:p>
    <w:p>
      <w:pPr>
        <w:spacing w:before="0" w:after="0" w:line="360" w:lineRule="auto"/>
        <w:ind w:firstLine="420"/>
      </w:pPr>
      <w:r>
        <w:rPr>
          <w:rFonts w:ascii="宋体" w:cs="宋体" w:eastAsia="宋体" w:hAnsi="宋体"/>
          <w:color w:val="000000"/>
          <w:sz w:val="21"/>
          <w:szCs w:val="21"/>
        </w:rPr>
        <w:t xml:space="preserve">[6] Billinghurst M, Clark A, Lee G. A survey of augmented reality[J]. Foundations and Trends in Human-Computer Interaction, 2015, 8(2-3): 73-272.</w:t>
      </w:r>
    </w:p>
    <w:p>
      <w:pPr>
        <w:spacing w:before="0" w:after="0" w:line="360" w:lineRule="auto"/>
        <w:ind w:firstLine="420"/>
      </w:pPr>
      <w:r>
        <w:rPr>
          <w:rFonts w:ascii="宋体" w:cs="宋体" w:eastAsia="宋体" w:hAnsi="宋体"/>
          <w:color w:val="000000"/>
          <w:sz w:val="21"/>
          <w:szCs w:val="21"/>
        </w:rPr>
        <w:t xml:space="preserve">[7] Krupke D, Steinicke F, Lubos P, et al. Comparison of multimodal heading and pointing gestures for co-located mixed reality human-robot interaction[C]. IROS, 2018.</w:t>
      </w:r>
    </w:p>
    <w:p>
      <w:pPr>
        <w:spacing w:before="0" w:after="0" w:line="360" w:lineRule="auto"/>
        <w:ind w:firstLine="420"/>
      </w:pPr>
      <w:r>
        <w:rPr>
          <w:rFonts w:ascii="宋体" w:cs="宋体" w:eastAsia="宋体" w:hAnsi="宋体"/>
          <w:color w:val="000000"/>
          <w:sz w:val="21"/>
          <w:szCs w:val="21"/>
        </w:rPr>
        <w:t xml:space="preserve">[8] Siciliano B, Sciavicco L, Villani L, et al. Robotics: Modelling, planning and control[M]. Springer, 2010.</w:t>
      </w:r>
    </w:p>
    <w:p>
      <w:pPr>
        <w:spacing w:before="0" w:after="0" w:line="360" w:lineRule="auto"/>
        <w:ind w:firstLine="420"/>
      </w:pPr>
      <w:r>
        <w:rPr>
          <w:rFonts w:ascii="宋体" w:cs="宋体" w:eastAsia="宋体" w:hAnsi="宋体"/>
          <w:color w:val="000000"/>
          <w:sz w:val="21"/>
          <w:szCs w:val="21"/>
        </w:rPr>
        <w:t xml:space="preserve">[9] Redmon J, et al. You only look once: Unified, real-time object detection[C]. CVPR, 2016: 779-788.</w:t>
      </w:r>
    </w:p>
    <w:p>
      <w:pPr>
        <w:spacing w:before="0" w:after="0" w:line="360" w:lineRule="auto"/>
        <w:ind w:firstLine="420"/>
      </w:pPr>
      <w:r>
        <w:rPr>
          <w:rFonts w:ascii="宋体" w:cs="宋体" w:eastAsia="宋体" w:hAnsi="宋体"/>
          <w:color w:val="000000"/>
          <w:sz w:val="21"/>
          <w:szCs w:val="21"/>
        </w:rPr>
        <w:t xml:space="preserve">[10] 熊蓉, 朱秋国, 褚健. 移动机器人自主导航的研究进展[J]. 自动化学报, 2019, 45(7): 1301-1322.</w:t>
      </w:r>
    </w:p>
    <w:p>
      <w:pPr>
        <w:spacing w:before="0" w:after="0" w:line="360" w:lineRule="auto"/>
        <w:ind w:firstLine="420"/>
      </w:pPr>
      <w:r>
        <w:rPr>
          <w:rFonts w:ascii="宋体" w:cs="宋体" w:eastAsia="宋体" w:hAnsi="宋体"/>
          <w:color w:val="000000"/>
          <w:sz w:val="21"/>
          <w:szCs w:val="21"/>
        </w:rPr>
        <w:t xml:space="preserve">[11] 张奇, 李晓林, 高会军. 脑机接口技术在机器人控制中的应用综述[J]. 机器人, 2020, 42(3): 369-384.</w:t>
      </w:r>
    </w:p>
    <w:p>
      <w:pPr>
        <w:spacing w:before="0" w:after="0" w:line="360" w:lineRule="auto"/>
        <w:ind w:firstLine="420"/>
      </w:pPr>
      <w:r>
        <w:rPr>
          <w:rFonts w:ascii="宋体" w:cs="宋体" w:eastAsia="宋体" w:hAnsi="宋体"/>
          <w:color w:val="000000"/>
          <w:sz w:val="21"/>
          <w:szCs w:val="21"/>
        </w:rPr>
        <w:t xml:space="preserve">[12] 李冬梅, 王志良. 混合现实技术在机器人遥操作中的应用研究综述[J]. 计算机工程与应用, 2021, 57(12): 1-12.</w:t>
      </w:r>
    </w:p>
    <w:p>
      <w:pPr>
        <w:spacing w:before="0" w:after="0" w:line="240" w:lineRule="auto"/>
      </w:pPr>
      <w:r>
        <w:rPr>
          <w:rFonts w:ascii="宋体" w:cs="宋体" w:eastAsia="宋体" w:hAnsi="宋体"/>
          <w:color w:val="000000"/>
          <w:sz w:val="21"/>
          <w:szCs w:val="21"/>
        </w:rPr>
        <w:t xml:space="preserve"/>
      </w:r>
    </w:p>
    <w:p>
      <w:pPr>
        <w:pBdr>
          <w:top w:val="single" w:color="888888" w:sz="4" w:space="4"/>
        </w:pBdr>
        <w:spacing w:before="400"/>
      </w:pPr>
    </w:p>
    <w:p>
      <w:pPr>
        <w:spacing w:before="0" w:after="0" w:line="240" w:lineRule="auto"/>
      </w:pPr>
      <w:r>
        <w:rPr>
          <w:rFonts w:ascii="宋体" w:cs="宋体" w:eastAsia="宋体" w:hAnsi="宋体"/>
          <w:color w:val="000000"/>
          <w:sz w:val="21"/>
          <w:szCs w:val="21"/>
        </w:rPr>
        <w:t xml:space="preserve"/>
      </w:r>
    </w:p>
    <w:tbl>
      <w:tblPr>
        <w:tblW w:type="dxa" w:w="85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253"/>
        <w:gridCol w:w="4253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80" w:after="80" w:line="360" w:lineRule="auto"/>
            </w:pPr>
            <w:r>
              <w:rPr>
                <w:rFonts w:ascii="宋体" w:cs="宋体" w:eastAsia="宋体" w:hAnsi="宋体"/>
                <w:color w:val="000000"/>
                <w:sz w:val="21"/>
                <w:szCs w:val="21"/>
              </w:rPr>
              <w:t xml:space="preserve">学生签名：＿＿＿＿＿＿＿＿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80" w:after="80" w:line="360" w:lineRule="auto"/>
            </w:pPr>
            <w:r>
              <w:rPr>
                <w:rFonts w:ascii="宋体" w:cs="宋体" w:eastAsia="宋体" w:hAnsi="宋体"/>
                <w:color w:val="000000"/>
                <w:sz w:val="21"/>
                <w:szCs w:val="21"/>
              </w:rPr>
              <w:t xml:space="preserve">日期：＿＿＿＿年＿＿月＿＿日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80" w:after="80" w:line="360" w:lineRule="auto"/>
            </w:pPr>
            <w:r>
              <w:rPr>
                <w:rFonts w:ascii="宋体" w:cs="宋体" w:eastAsia="宋体" w:hAnsi="宋体"/>
                <w:color w:val="000000"/>
                <w:sz w:val="21"/>
                <w:szCs w:val="21"/>
              </w:rPr>
              <w:t xml:space="preserve">指导教师签名：＿＿＿＿＿＿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80" w:after="80" w:line="360" w:lineRule="auto"/>
            </w:pPr>
            <w:r>
              <w:rPr>
                <w:rFonts w:ascii="宋体" w:cs="宋体" w:eastAsia="宋体" w:hAnsi="宋体"/>
                <w:color w:val="000000"/>
                <w:sz w:val="21"/>
                <w:szCs w:val="21"/>
              </w:rPr>
              <w:t xml:space="preserve">日期：＿＿＿＿年＿＿月＿＿日</w:t>
            </w:r>
          </w:p>
        </w:tc>
      </w:tr>
      <w:tr>
        <w:tc>
          <w:tcPr>
            <w:gridSpan w:val="2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200" w:after="0" w:line="360" w:lineRule="auto"/>
            </w:pPr>
            <w:r>
              <w:rPr>
                <w:rFonts w:ascii="宋体" w:cs="宋体" w:eastAsia="宋体" w:hAnsi="宋体"/>
                <w:color w:val="000000"/>
                <w:sz w:val="21"/>
                <w:szCs w:val="21"/>
              </w:rPr>
              <w:t xml:space="preserve">指导教师意见：</w:t>
            </w:r>
          </w:p>
        </w:tc>
      </w:tr>
    </w:tbl>
    <w:sectPr>
      <w:pgSz w:w="11906" w:h="16838" w:orient="portrait"/>
      <w:pgMar w:top="1700" w:right="1700" w:bottom="1700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00" w:after="100" w:line="480"/>
      <w:outlineLvl w:val="0"/>
    </w:pPr>
    <w:rPr>
      <w:rFonts w:ascii="黑体" w:cs="黑体" w:eastAsia="黑体" w:hAnsi="黑体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60" w:after="80" w:line="360"/>
      <w:outlineLvl w:val="1"/>
    </w:pPr>
    <w:rPr>
      <w:rFonts w:ascii="黑体" w:cs="黑体" w:eastAsia="黑体" w:hAnsi="黑体"/>
      <w:b/>
      <w:bCs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2026-04-08T03:55:43.140Z</dcterms:created>
  <dcterms:modified xsi:type="dcterms:W3CDTF">2026-04-08T03:55:43.141Z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