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F5924" w14:textId="64CE0A2F" w:rsidR="00A407DC" w:rsidRDefault="00F5789D">
      <w:r>
        <w:t xml:space="preserve">Studies have shown </w:t>
      </w:r>
      <w:r w:rsidR="00C315C2">
        <w:t xml:space="preserve">some </w:t>
      </w:r>
      <w:r>
        <w:t>natural products</w:t>
      </w:r>
      <w:r w:rsidR="00C315C2">
        <w:t xml:space="preserve"> can benefit human bodies by </w:t>
      </w:r>
      <w:r>
        <w:t xml:space="preserve">inducing a mild stress </w:t>
      </w:r>
      <w:r w:rsidR="0055508C">
        <w:t>on cells</w:t>
      </w:r>
      <w:r w:rsidR="005E6247">
        <w:t xml:space="preserve"> at low doses</w:t>
      </w:r>
      <w:r w:rsidR="0055508C">
        <w:t xml:space="preserve">, an effect commonly known as “hormesis”. Hormesis is </w:t>
      </w:r>
      <w:r w:rsidR="00F94F82">
        <w:t xml:space="preserve">defined as </w:t>
      </w:r>
      <w:r w:rsidR="009B04B3">
        <w:t xml:space="preserve">stimulatory effect at lower doses while </w:t>
      </w:r>
      <w:r w:rsidR="00655FF0">
        <w:t>inhibitory effect at a higher dose, or vice versa. However, searching for hormesis is often done manually</w:t>
      </w:r>
      <w:r w:rsidR="007A3540">
        <w:t xml:space="preserve"> by examining the shape of dose-response curves, which is not </w:t>
      </w:r>
      <w:r w:rsidR="003805DA">
        <w:t>scalable to large numbers of chemical-assay combination, such as high-throughput screening</w:t>
      </w:r>
      <w:r w:rsidR="00E92E3E">
        <w:t xml:space="preserve"> (HTS)</w:t>
      </w:r>
      <w:r w:rsidR="003805DA">
        <w:t xml:space="preserve"> results. Therefore, we proposed </w:t>
      </w:r>
      <w:r w:rsidR="0073518D">
        <w:t>a semi-automatic statistical testing procedure to quickly evaluate large</w:t>
      </w:r>
      <w:r w:rsidR="009A0B13">
        <w:t>-</w:t>
      </w:r>
      <w:r w:rsidR="0073518D">
        <w:t>scale</w:t>
      </w:r>
      <w:r w:rsidR="009A0B13">
        <w:t xml:space="preserve"> </w:t>
      </w:r>
      <w:r w:rsidR="0073518D">
        <w:t>dose-response data</w:t>
      </w:r>
      <w:r w:rsidR="00DD3471">
        <w:t xml:space="preserve">, accompanied by an R package for easy implementation. </w:t>
      </w:r>
      <w:r w:rsidR="00B77F8E">
        <w:t xml:space="preserve">The nonparametric shape tests are more flexible than parametric models </w:t>
      </w:r>
      <w:r w:rsidR="00F963F4">
        <w:t>with few assumptions on the data</w:t>
      </w:r>
      <w:r w:rsidR="00B77F8E">
        <w:t xml:space="preserve">. </w:t>
      </w:r>
      <w:r w:rsidR="003D6A3D">
        <w:t xml:space="preserve">We also developed a new </w:t>
      </w:r>
      <w:r w:rsidR="00987D85">
        <w:t xml:space="preserve">visualization method </w:t>
      </w:r>
      <w:r w:rsidR="00462858">
        <w:t>to represent both the test conclusions and their uncertainty</w:t>
      </w:r>
      <w:r w:rsidR="00E37A01">
        <w:t xml:space="preserve"> simultaneously.</w:t>
      </w:r>
      <w:r w:rsidR="00162615">
        <w:t xml:space="preserve"> Th</w:t>
      </w:r>
      <w:r w:rsidR="007076C3">
        <w:t>is scalable, interpretable representation</w:t>
      </w:r>
      <w:r w:rsidR="00CE1743">
        <w:t xml:space="preserve"> highlights both significant and </w:t>
      </w:r>
      <w:r w:rsidR="00136296">
        <w:t>ambiguous</w:t>
      </w:r>
      <w:r w:rsidR="005212C4">
        <w:t xml:space="preserve"> findings and thus improves the efficiency of</w:t>
      </w:r>
      <w:r w:rsidR="00136296">
        <w:t xml:space="preserve"> examination</w:t>
      </w:r>
      <w:r w:rsidR="0077273A">
        <w:t xml:space="preserve">. </w:t>
      </w:r>
      <w:r w:rsidR="00E6738A">
        <w:t>We applied this method to the Tox 21 data</w:t>
      </w:r>
      <w:r w:rsidR="00BF50B2">
        <w:t xml:space="preserve"> and identified 562 (12%) </w:t>
      </w:r>
      <w:r w:rsidR="00C54574">
        <w:t>statistically significant</w:t>
      </w:r>
      <w:r w:rsidR="00BF50B2">
        <w:t xml:space="preserve"> hormesis curves from </w:t>
      </w:r>
      <w:r w:rsidR="0099639F">
        <w:t>over 5000 dose-response curves.</w:t>
      </w:r>
      <w:r w:rsidR="00965C1C">
        <w:rPr>
          <w:rStyle w:val="Heading1Char"/>
          <w:rFonts w:ascii="Aptos" w:hAnsi="Aptos"/>
          <w:color w:val="000000"/>
          <w:shd w:val="clear" w:color="auto" w:fill="FFFFFF"/>
        </w:rPr>
        <w:t xml:space="preserve"> </w:t>
      </w:r>
      <w:r w:rsidR="00965C1C">
        <w:rPr>
          <w:rStyle w:val="normaltextrun"/>
          <w:rFonts w:ascii="Aptos" w:hAnsi="Aptos"/>
          <w:color w:val="000000"/>
          <w:shd w:val="clear" w:color="auto" w:fill="FFFFFF"/>
        </w:rPr>
        <w:t>Turmeric mostly frequently tested positive (58.5%) among botanical groups, and antioxidant response element (ARE-BLA-P1) tested mostly frequently among assays (43.33%). </w:t>
      </w:r>
      <w:r w:rsidR="00965C1C">
        <w:rPr>
          <w:rStyle w:val="eop"/>
          <w:rFonts w:ascii="Aptos" w:hAnsi="Aptos"/>
          <w:color w:val="000000"/>
          <w:shd w:val="clear" w:color="auto" w:fill="FFFFFF"/>
        </w:rPr>
        <w:t> </w:t>
      </w:r>
    </w:p>
    <w:sectPr w:rsidR="00A40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07"/>
    <w:rsid w:val="00000094"/>
    <w:rsid w:val="00007EAA"/>
    <w:rsid w:val="00013EE9"/>
    <w:rsid w:val="00016FD3"/>
    <w:rsid w:val="00031E7B"/>
    <w:rsid w:val="00052DB1"/>
    <w:rsid w:val="00070526"/>
    <w:rsid w:val="000748D0"/>
    <w:rsid w:val="000805E0"/>
    <w:rsid w:val="00081B88"/>
    <w:rsid w:val="00084E9B"/>
    <w:rsid w:val="00086FBF"/>
    <w:rsid w:val="00090D2A"/>
    <w:rsid w:val="000A11BD"/>
    <w:rsid w:val="000B5507"/>
    <w:rsid w:val="000F0E4F"/>
    <w:rsid w:val="00100551"/>
    <w:rsid w:val="00100CE5"/>
    <w:rsid w:val="00102F0E"/>
    <w:rsid w:val="001077D4"/>
    <w:rsid w:val="00112A48"/>
    <w:rsid w:val="00114B75"/>
    <w:rsid w:val="00136296"/>
    <w:rsid w:val="001501A2"/>
    <w:rsid w:val="00162615"/>
    <w:rsid w:val="0017180B"/>
    <w:rsid w:val="00176076"/>
    <w:rsid w:val="001771A0"/>
    <w:rsid w:val="00184680"/>
    <w:rsid w:val="00194CE0"/>
    <w:rsid w:val="001A515A"/>
    <w:rsid w:val="001C006E"/>
    <w:rsid w:val="001C4D1C"/>
    <w:rsid w:val="001C7074"/>
    <w:rsid w:val="001D0320"/>
    <w:rsid w:val="001D6ACE"/>
    <w:rsid w:val="002025B5"/>
    <w:rsid w:val="00207199"/>
    <w:rsid w:val="00222CEE"/>
    <w:rsid w:val="00232EA9"/>
    <w:rsid w:val="00235BDC"/>
    <w:rsid w:val="0024206A"/>
    <w:rsid w:val="0025023E"/>
    <w:rsid w:val="00256844"/>
    <w:rsid w:val="0026403F"/>
    <w:rsid w:val="002743B0"/>
    <w:rsid w:val="00287F68"/>
    <w:rsid w:val="002921E7"/>
    <w:rsid w:val="00292FC5"/>
    <w:rsid w:val="002C0F22"/>
    <w:rsid w:val="00325F3C"/>
    <w:rsid w:val="003341B8"/>
    <w:rsid w:val="00345F13"/>
    <w:rsid w:val="00346E80"/>
    <w:rsid w:val="00347A8D"/>
    <w:rsid w:val="003502B4"/>
    <w:rsid w:val="0037599D"/>
    <w:rsid w:val="003805DA"/>
    <w:rsid w:val="003949BC"/>
    <w:rsid w:val="003B4D64"/>
    <w:rsid w:val="003B612D"/>
    <w:rsid w:val="003C3309"/>
    <w:rsid w:val="003C3B30"/>
    <w:rsid w:val="003D6A3D"/>
    <w:rsid w:val="004018E8"/>
    <w:rsid w:val="004111BE"/>
    <w:rsid w:val="00413C3D"/>
    <w:rsid w:val="0045499C"/>
    <w:rsid w:val="00460C5C"/>
    <w:rsid w:val="00462858"/>
    <w:rsid w:val="004679CF"/>
    <w:rsid w:val="00471CBB"/>
    <w:rsid w:val="004765E2"/>
    <w:rsid w:val="004A12BC"/>
    <w:rsid w:val="004B2A27"/>
    <w:rsid w:val="004E1C44"/>
    <w:rsid w:val="004F4A74"/>
    <w:rsid w:val="004F70C5"/>
    <w:rsid w:val="00503353"/>
    <w:rsid w:val="005058DD"/>
    <w:rsid w:val="00506BE3"/>
    <w:rsid w:val="00513261"/>
    <w:rsid w:val="005212C4"/>
    <w:rsid w:val="00541D88"/>
    <w:rsid w:val="00545ABD"/>
    <w:rsid w:val="005523CC"/>
    <w:rsid w:val="00554057"/>
    <w:rsid w:val="0055508C"/>
    <w:rsid w:val="00557EC8"/>
    <w:rsid w:val="00557FBE"/>
    <w:rsid w:val="005727DB"/>
    <w:rsid w:val="00576870"/>
    <w:rsid w:val="00576F16"/>
    <w:rsid w:val="00584B8D"/>
    <w:rsid w:val="00595A9C"/>
    <w:rsid w:val="005B1250"/>
    <w:rsid w:val="005B2823"/>
    <w:rsid w:val="005B32CA"/>
    <w:rsid w:val="005D3C52"/>
    <w:rsid w:val="005D5E47"/>
    <w:rsid w:val="005E4E92"/>
    <w:rsid w:val="005E6247"/>
    <w:rsid w:val="005E6A65"/>
    <w:rsid w:val="005F221F"/>
    <w:rsid w:val="005F4B1E"/>
    <w:rsid w:val="00611FD6"/>
    <w:rsid w:val="0061437D"/>
    <w:rsid w:val="00634348"/>
    <w:rsid w:val="00636EB5"/>
    <w:rsid w:val="00655FF0"/>
    <w:rsid w:val="0066093F"/>
    <w:rsid w:val="00663F4B"/>
    <w:rsid w:val="0068358D"/>
    <w:rsid w:val="006871AC"/>
    <w:rsid w:val="006A53DD"/>
    <w:rsid w:val="006B4CE1"/>
    <w:rsid w:val="006C549E"/>
    <w:rsid w:val="006D0B77"/>
    <w:rsid w:val="006D3439"/>
    <w:rsid w:val="006E11BE"/>
    <w:rsid w:val="006E79D3"/>
    <w:rsid w:val="007076C3"/>
    <w:rsid w:val="00712672"/>
    <w:rsid w:val="00721425"/>
    <w:rsid w:val="0073518D"/>
    <w:rsid w:val="00735B9F"/>
    <w:rsid w:val="00747868"/>
    <w:rsid w:val="00751E9C"/>
    <w:rsid w:val="00770240"/>
    <w:rsid w:val="0077273A"/>
    <w:rsid w:val="00781343"/>
    <w:rsid w:val="007933E2"/>
    <w:rsid w:val="007A3262"/>
    <w:rsid w:val="007A3540"/>
    <w:rsid w:val="007A7055"/>
    <w:rsid w:val="007B1054"/>
    <w:rsid w:val="007C2210"/>
    <w:rsid w:val="007D2728"/>
    <w:rsid w:val="008008B7"/>
    <w:rsid w:val="0083253B"/>
    <w:rsid w:val="00834E19"/>
    <w:rsid w:val="00834F66"/>
    <w:rsid w:val="00835A19"/>
    <w:rsid w:val="00854A51"/>
    <w:rsid w:val="008620C2"/>
    <w:rsid w:val="008749AE"/>
    <w:rsid w:val="00877EDE"/>
    <w:rsid w:val="008C39AD"/>
    <w:rsid w:val="008F068E"/>
    <w:rsid w:val="008F21B6"/>
    <w:rsid w:val="008F5AE0"/>
    <w:rsid w:val="009016C7"/>
    <w:rsid w:val="00904FF7"/>
    <w:rsid w:val="00926DD9"/>
    <w:rsid w:val="00932C42"/>
    <w:rsid w:val="0094725F"/>
    <w:rsid w:val="00955909"/>
    <w:rsid w:val="00965C1C"/>
    <w:rsid w:val="00987D85"/>
    <w:rsid w:val="0099639F"/>
    <w:rsid w:val="009A0B13"/>
    <w:rsid w:val="009B04B3"/>
    <w:rsid w:val="009C40D4"/>
    <w:rsid w:val="009E3938"/>
    <w:rsid w:val="009E6D89"/>
    <w:rsid w:val="009F70E1"/>
    <w:rsid w:val="00A13021"/>
    <w:rsid w:val="00A27B47"/>
    <w:rsid w:val="00A33E1D"/>
    <w:rsid w:val="00A361F3"/>
    <w:rsid w:val="00A36915"/>
    <w:rsid w:val="00A407DC"/>
    <w:rsid w:val="00A50D01"/>
    <w:rsid w:val="00A63A6F"/>
    <w:rsid w:val="00A66991"/>
    <w:rsid w:val="00A71676"/>
    <w:rsid w:val="00A83941"/>
    <w:rsid w:val="00A95363"/>
    <w:rsid w:val="00AA4FF7"/>
    <w:rsid w:val="00AB5677"/>
    <w:rsid w:val="00AD0CA6"/>
    <w:rsid w:val="00AD6B71"/>
    <w:rsid w:val="00AE182A"/>
    <w:rsid w:val="00AE2155"/>
    <w:rsid w:val="00AF4E96"/>
    <w:rsid w:val="00B234CD"/>
    <w:rsid w:val="00B44D4A"/>
    <w:rsid w:val="00B629E2"/>
    <w:rsid w:val="00B668F6"/>
    <w:rsid w:val="00B66D89"/>
    <w:rsid w:val="00B758F6"/>
    <w:rsid w:val="00B77F8E"/>
    <w:rsid w:val="00B82526"/>
    <w:rsid w:val="00B8786E"/>
    <w:rsid w:val="00B94261"/>
    <w:rsid w:val="00BC11D9"/>
    <w:rsid w:val="00BE2E21"/>
    <w:rsid w:val="00BF50B2"/>
    <w:rsid w:val="00C12C53"/>
    <w:rsid w:val="00C14611"/>
    <w:rsid w:val="00C148D7"/>
    <w:rsid w:val="00C30BA7"/>
    <w:rsid w:val="00C315C2"/>
    <w:rsid w:val="00C37917"/>
    <w:rsid w:val="00C42330"/>
    <w:rsid w:val="00C45406"/>
    <w:rsid w:val="00C54574"/>
    <w:rsid w:val="00C553C7"/>
    <w:rsid w:val="00C56282"/>
    <w:rsid w:val="00C6574F"/>
    <w:rsid w:val="00C8363E"/>
    <w:rsid w:val="00C868AB"/>
    <w:rsid w:val="00C95322"/>
    <w:rsid w:val="00C95DB8"/>
    <w:rsid w:val="00CA0AAE"/>
    <w:rsid w:val="00CB185A"/>
    <w:rsid w:val="00CB4B1A"/>
    <w:rsid w:val="00CB64B0"/>
    <w:rsid w:val="00CC4673"/>
    <w:rsid w:val="00CD7F88"/>
    <w:rsid w:val="00CE10BE"/>
    <w:rsid w:val="00CE1743"/>
    <w:rsid w:val="00D12526"/>
    <w:rsid w:val="00D22FB4"/>
    <w:rsid w:val="00D23CBE"/>
    <w:rsid w:val="00D31E84"/>
    <w:rsid w:val="00D44295"/>
    <w:rsid w:val="00D518D1"/>
    <w:rsid w:val="00D55B87"/>
    <w:rsid w:val="00D64433"/>
    <w:rsid w:val="00D8529E"/>
    <w:rsid w:val="00D95456"/>
    <w:rsid w:val="00DA1B4C"/>
    <w:rsid w:val="00DA26FD"/>
    <w:rsid w:val="00DA7C85"/>
    <w:rsid w:val="00DB0F20"/>
    <w:rsid w:val="00DB2721"/>
    <w:rsid w:val="00DD31AD"/>
    <w:rsid w:val="00DD3471"/>
    <w:rsid w:val="00DD44E2"/>
    <w:rsid w:val="00DD7F05"/>
    <w:rsid w:val="00DE2F44"/>
    <w:rsid w:val="00E02C93"/>
    <w:rsid w:val="00E07C85"/>
    <w:rsid w:val="00E12418"/>
    <w:rsid w:val="00E20245"/>
    <w:rsid w:val="00E26D1B"/>
    <w:rsid w:val="00E32512"/>
    <w:rsid w:val="00E37A01"/>
    <w:rsid w:val="00E42FEC"/>
    <w:rsid w:val="00E649D4"/>
    <w:rsid w:val="00E670D3"/>
    <w:rsid w:val="00E6738A"/>
    <w:rsid w:val="00E70A9E"/>
    <w:rsid w:val="00E80BE3"/>
    <w:rsid w:val="00E874E6"/>
    <w:rsid w:val="00E92E3E"/>
    <w:rsid w:val="00E97D67"/>
    <w:rsid w:val="00EA2555"/>
    <w:rsid w:val="00EC0EFF"/>
    <w:rsid w:val="00ED2C0D"/>
    <w:rsid w:val="00ED7F68"/>
    <w:rsid w:val="00EE1213"/>
    <w:rsid w:val="00EE1EA9"/>
    <w:rsid w:val="00EE42C9"/>
    <w:rsid w:val="00EE5E43"/>
    <w:rsid w:val="00F013F4"/>
    <w:rsid w:val="00F02810"/>
    <w:rsid w:val="00F15ED6"/>
    <w:rsid w:val="00F213C0"/>
    <w:rsid w:val="00F41789"/>
    <w:rsid w:val="00F5154F"/>
    <w:rsid w:val="00F55435"/>
    <w:rsid w:val="00F5789D"/>
    <w:rsid w:val="00F71D97"/>
    <w:rsid w:val="00F94F82"/>
    <w:rsid w:val="00F963F4"/>
    <w:rsid w:val="00F96E90"/>
    <w:rsid w:val="00FA06D7"/>
    <w:rsid w:val="00FA26F1"/>
    <w:rsid w:val="00FB2440"/>
    <w:rsid w:val="00FB4056"/>
    <w:rsid w:val="00FB7155"/>
    <w:rsid w:val="00FC04D5"/>
    <w:rsid w:val="00FD7135"/>
    <w:rsid w:val="00FE4168"/>
    <w:rsid w:val="00FE481A"/>
    <w:rsid w:val="00FF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4D064"/>
  <w15:chartTrackingRefBased/>
  <w15:docId w15:val="{7E4B80D2-C569-5541-B493-3795DC85F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507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965C1C"/>
  </w:style>
  <w:style w:type="character" w:customStyle="1" w:styleId="eop">
    <w:name w:val="eop"/>
    <w:basedOn w:val="DefaultParagraphFont"/>
    <w:rsid w:val="00965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Ying (NIH/NIEHS) [F]</dc:creator>
  <cp:keywords/>
  <dc:description/>
  <cp:lastModifiedBy>Jin, Ying (NIH/NIEHS) [F]</cp:lastModifiedBy>
  <cp:revision>63</cp:revision>
  <dcterms:created xsi:type="dcterms:W3CDTF">2026-04-09T13:59:00Z</dcterms:created>
  <dcterms:modified xsi:type="dcterms:W3CDTF">2026-04-09T15:31:00Z</dcterms:modified>
</cp:coreProperties>
</file>