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8"/>
          <w:szCs w:val="28"/>
        </w:rPr>
      </w:pPr>
      <w:bookmarkStart w:colFirst="0" w:colLast="0" w:name="_8zwkjmu64ez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OPENAIR PRIMER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TEMPLATE: Please copy content/questions to your own document.</w:t>
      </w:r>
    </w:p>
    <w:p w:rsidR="00000000" w:rsidDel="00000000" w:rsidP="00000000" w:rsidRDefault="00000000" w:rsidRPr="00000000" w14:paraId="00000003">
      <w:pPr>
        <w:jc w:val="center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Go to File → Make a Copy → Save to your own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Your name(s):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Open RStudio and type: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install.packages(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"openair"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References:</w:t>
        <w:br w:type="textWrapping"/>
      </w:r>
      <w:r w:rsidDel="00000000" w:rsidR="00000000" w:rsidRPr="00000000">
        <w:rPr>
          <w:rtl w:val="0"/>
        </w:rPr>
        <w:t xml:space="preserve">User friendly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https://bookdown.org/david_carslaw/openair/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Github repo: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https://github.com/davidcarslaw/openair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EXPLORE OPENAIR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(Slide 4 - </w:t>
      </w:r>
      <w:r w:rsidDel="00000000" w:rsidR="00000000" w:rsidRPr="00000000">
        <w:rPr>
          <w:i w:val="1"/>
          <w:rtl w:val="0"/>
        </w:rPr>
        <w:t xml:space="preserve">Call Libraries</w:t>
      </w:r>
      <w:r w:rsidDel="00000000" w:rsidR="00000000" w:rsidRPr="00000000">
        <w:rPr>
          <w:rtl w:val="0"/>
        </w:rPr>
        <w:t xml:space="preserve">)</w:t>
        <w:br w:type="textWrapping"/>
        <w:t xml:space="preserve">Open a new script file and name it </w:t>
      </w:r>
      <w:r w:rsidDel="00000000" w:rsidR="00000000" w:rsidRPr="00000000">
        <w:rPr>
          <w:color w:val="0000ff"/>
          <w:rtl w:val="0"/>
        </w:rPr>
        <w:t xml:space="preserve">openair_primer_firstname_lastname.R </w:t>
      </w:r>
      <w:r w:rsidDel="00000000" w:rsidR="00000000" w:rsidRPr="00000000">
        <w:rPr>
          <w:rtl w:val="0"/>
        </w:rPr>
        <w:t xml:space="preserve">to keep track of these function calls for your reference.</w:t>
        <w:br w:type="textWrapping"/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Import the necessary libraries: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444444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(openair) 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# vis pkg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444444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(tidyverse) 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# helps vis pkg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(Slide 5 - </w:t>
      </w:r>
      <w:r w:rsidDel="00000000" w:rsidR="00000000" w:rsidRPr="00000000">
        <w:rPr>
          <w:i w:val="1"/>
          <w:rtl w:val="0"/>
        </w:rPr>
        <w:t xml:space="preserve">Get Data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Run the following to import your data: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data &lt;- importAURN(site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"my1"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year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2005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data &lt;- read.csv(file.choose())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(Slide 6 - </w:t>
      </w:r>
      <w:r w:rsidDel="00000000" w:rsidR="00000000" w:rsidRPr="00000000">
        <w:rPr>
          <w:i w:val="1"/>
          <w:rtl w:val="0"/>
        </w:rPr>
        <w:t xml:space="preserve">View Data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Once the data is imported,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you can click on the object in your workspace to view it, or run the command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head(data)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to see some of the data.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What do you notice? (Any interesting formatting of entries? Any columns you can recognize before going further?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(Slide 7 - </w:t>
      </w:r>
      <w:r w:rsidDel="00000000" w:rsidR="00000000" w:rsidRPr="00000000">
        <w:rPr>
          <w:i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There are 13 variables in the dataset.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Complete the following table with variable name to match the given meaning, format, and/or unit of measurement (done as a class)</w:t>
      </w:r>
      <w:r w:rsidDel="00000000" w:rsidR="00000000" w:rsidRPr="00000000">
        <w:rPr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ab/>
        <w:tab/>
      </w:r>
    </w:p>
    <w:tbl>
      <w:tblPr>
        <w:tblStyle w:val="Table2"/>
        <w:tblW w:w="92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195"/>
        <w:tblGridChange w:id="0">
          <w:tblGrid>
            <w:gridCol w:w="3015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collection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for importing this site through the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 listed as yyyy-mm-dd hh:mm:ss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carbon monoxide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other nitrous oxides (not no2 or no)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nitrogen dioxide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nitrogen monoxide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ozone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sulfur dioxide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particulate matter of 10 micron size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particulate matter of 2.5 micron size in μg/m^3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speed of the wind in m/s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direction of the wind in compass degrees (0º north, clockwise around)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(Slide 9 - </w:t>
      </w:r>
      <w:r w:rsidDel="00000000" w:rsidR="00000000" w:rsidRPr="00000000">
        <w:rPr>
          <w:i w:val="1"/>
          <w:rtl w:val="0"/>
        </w:rPr>
        <w:t xml:space="preserve">Plot 1: timePlot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The best way to do this clearly and concisely is to use the openair function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timePlot()</w:t>
      </w:r>
      <w:r w:rsidDel="00000000" w:rsidR="00000000" w:rsidRPr="00000000">
        <w:rPr>
          <w:rtl w:val="0"/>
        </w:rPr>
        <w:t xml:space="preserve"> (plots the pollutant nox by default)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timePlot(data)</w:t>
      </w:r>
      <w:r w:rsidDel="00000000" w:rsidR="00000000" w:rsidRPr="00000000">
        <w:rPr>
          <w:rtl w:val="0"/>
        </w:rPr>
        <w:br w:type="textWrapping"/>
        <w:br w:type="textWrapping"/>
        <w:t xml:space="preserve">To specify one or more variables to plot, as well as the option to average over time: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timePlot(data, </w:t>
        <w:br w:type="textWrapping"/>
        <w:tab/>
        <w:t xml:space="preserve">pollutant = c(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"no2"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"nox"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"o3"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), </w:t>
        <w:br w:type="textWrapping"/>
        <w:tab/>
        <w:t xml:space="preserve">avg.time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Do you see any gaps in this data? If so, why do you think they are there? If not, what would you do if there were gaps?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Do you see any pattern of peaks or valleys in this data? Why do you think they are there?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You might notice that the time plots don’t have titles. What argument can you use from the R intro assignment to create a plot title? Try this out with an appropriate title of your choice, and submit your code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(Slide 10 - </w:t>
      </w:r>
      <w:r w:rsidDel="00000000" w:rsidR="00000000" w:rsidRPr="00000000">
        <w:rPr>
          <w:i w:val="1"/>
          <w:rtl w:val="0"/>
        </w:rPr>
        <w:t xml:space="preserve">Plot 2: windRose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Run the command: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windRose(data)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  <w:t xml:space="preserve">(Slide 11 - </w:t>
      </w:r>
      <w:r w:rsidDel="00000000" w:rsidR="00000000" w:rsidRPr="00000000">
        <w:rPr>
          <w:i w:val="1"/>
          <w:rtl w:val="0"/>
        </w:rPr>
        <w:t xml:space="preserve">windRose Questions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This plot produces 12 bars jutting out on a polar plot. What do the directions of these bars correspond to?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before="20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 legend below the plot lists a range of values for each color with units of (m s</w:t>
      </w:r>
      <w:r w:rsidDel="00000000" w:rsidR="00000000" w:rsidRPr="00000000">
        <w:rPr>
          <w:color w:val="0000ff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), what do the values correspond to (think about what variable has those units)?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  <w:t xml:space="preserve">(Slide 12 - </w:t>
      </w:r>
      <w:r w:rsidDel="00000000" w:rsidR="00000000" w:rsidRPr="00000000">
        <w:rPr>
          <w:i w:val="1"/>
          <w:rtl w:val="0"/>
        </w:rPr>
        <w:t xml:space="preserve">windRose Questions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ff"/>
          <w:sz w:val="24"/>
          <w:szCs w:val="24"/>
          <w:rtl w:val="0"/>
        </w:rPr>
        <w:br w:type="textWrapping"/>
        <w:t xml:space="preserve">The plot is titled “Frequency of counts by wind direction (%).” If this is the case, what do the lengths of the bars represent (look at the units on the concentric rings)?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 the lower right corner of the plot are values for the “mean” and “calm”, what do these mean (hint: mean is in m s</w:t>
      </w:r>
      <w:r w:rsidDel="00000000" w:rsidR="00000000" w:rsidRPr="00000000">
        <w:rPr>
          <w:color w:val="0000ff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and you can check if the wind speed ever hits zero by making a plot of windspeed)?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(Slide 13 - </w:t>
      </w:r>
      <w:r w:rsidDel="00000000" w:rsidR="00000000" w:rsidRPr="00000000">
        <w:rPr>
          <w:i w:val="1"/>
          <w:rtl w:val="0"/>
        </w:rPr>
        <w:t xml:space="preserve">windRose Questions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Finally, using the above information as necessary, explain what a windRose shows (1-2 sentences).</w:t>
        <w:br w:type="textWrapping"/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before="20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(Slide 14 - </w:t>
      </w:r>
      <w:r w:rsidDel="00000000" w:rsidR="00000000" w:rsidRPr="00000000">
        <w:rPr>
          <w:i w:val="1"/>
          <w:rtl w:val="0"/>
        </w:rPr>
        <w:t xml:space="preserve">windRose Arguments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As before, we can use internal arguments to specify further.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windRose(data, type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layout = c(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))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How does type = “year” separate the data?</w:t>
        <w:br w:type="textWrapping"/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before="20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How about type = “pm10”?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windRose(data, type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"pm10"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layout = c(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))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What is the data binned by now?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Explore the different variations of windroses given type and variable. Paste one that you produced of your choice, something that piques your interest.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Explain what your windRose shows. Are there any conclusions you can draw?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(Slide 15 - </w:t>
      </w:r>
      <w:r w:rsidDel="00000000" w:rsidR="00000000" w:rsidRPr="00000000">
        <w:rPr>
          <w:i w:val="1"/>
          <w:rtl w:val="0"/>
        </w:rPr>
        <w:t xml:space="preserve">pollutionRose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We can also make a variation of this called a pollution rose (nox by default):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pollutionRose(data)</w:t>
      </w:r>
      <w:r w:rsidDel="00000000" w:rsidR="00000000" w:rsidRPr="00000000">
        <w:rPr>
          <w:rtl w:val="0"/>
        </w:rPr>
        <w:br w:type="textWrapping"/>
        <w:br w:type="textWrapping"/>
        <w:t xml:space="preserve">To focus on a specific pollutant, use the pollutant argument: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pollutionRose(data, pollutant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  <w:t xml:space="preserve">To </w:t>
      </w:r>
      <w:r w:rsidDel="00000000" w:rsidR="00000000" w:rsidRPr="00000000">
        <w:rPr>
          <w:rtl w:val="0"/>
        </w:rPr>
        <w:t xml:space="preserve">link with another pollutant, use the type argument: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pollutionRose(data, pollutant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type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"no2"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layout = c(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))</w:t>
      </w:r>
      <w:r w:rsidDel="00000000" w:rsidR="00000000" w:rsidRPr="00000000">
        <w:rPr>
          <w:rtl w:val="0"/>
        </w:rPr>
        <w:br w:type="textWrapping"/>
        <w:br w:type="textWrapping"/>
        <w:t xml:space="preserve">To </w:t>
      </w:r>
      <w:r w:rsidDel="00000000" w:rsidR="00000000" w:rsidRPr="00000000">
        <w:rPr>
          <w:rtl w:val="0"/>
        </w:rPr>
        <w:t xml:space="preserve">segment (remove the spaces between the bars) and normalize: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pollutionRose(data, pollutant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"nox"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seg =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, normalise = </w:t>
      </w:r>
      <w:r w:rsidDel="00000000" w:rsidR="00000000" w:rsidRPr="00000000">
        <w:rPr>
          <w:rFonts w:ascii="Consolas" w:cs="Consolas" w:eastAsia="Consolas" w:hAnsi="Consolas"/>
          <w:color w:val="78a96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00" w:before="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 12 bars correspond to the same data aspect as in the windRose, but now what does the shading correspond to?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200" w:before="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00" w:before="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What does setting the segment to 1 and turning on normalization help you to see? (Hint: are the sizes of the colored regions relative to something? Also, think about how a pollution rose was employed by the article you read in assignment 2)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00" w:before="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00" w:before="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This is the second time you’ve seen the layout argument, what does the argument accept and what does this do?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00" w:before="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(Slide 16 - </w:t>
      </w:r>
      <w:r w:rsidDel="00000000" w:rsidR="00000000" w:rsidRPr="00000000">
        <w:rPr>
          <w:i w:val="1"/>
          <w:rtl w:val="0"/>
        </w:rPr>
        <w:t xml:space="preserve">pollutionRose challenge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Using the command 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pollutionRose()</w:t>
      </w:r>
      <w:r w:rsidDel="00000000" w:rsidR="00000000" w:rsidRPr="00000000">
        <w:rPr>
          <w:rtl w:val="0"/>
        </w:rPr>
        <w:t xml:space="preserve"> and knowledge of R and </w:t>
      </w:r>
      <w:r w:rsidDel="00000000" w:rsidR="00000000" w:rsidRPr="00000000">
        <w:rPr>
          <w:i w:val="1"/>
          <w:rtl w:val="0"/>
        </w:rPr>
        <w:t xml:space="preserve">openair</w:t>
      </w:r>
      <w:r w:rsidDel="00000000" w:rsidR="00000000" w:rsidRPr="00000000">
        <w:rPr>
          <w:rtl w:val="0"/>
        </w:rPr>
        <w:t xml:space="preserve"> syntax, you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make a pollution rose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u w:val="single"/>
          <w:rtl w:val="0"/>
        </w:rPr>
        <w:t xml:space="preserve">only the year 2002</w:t>
      </w:r>
      <w:r w:rsidDel="00000000" w:rsidR="00000000" w:rsidRPr="00000000">
        <w:rPr>
          <w:rtl w:val="0"/>
        </w:rPr>
        <w:t xml:space="preserve"> that is tracking the level of </w:t>
      </w:r>
      <w:r w:rsidDel="00000000" w:rsidR="00000000" w:rsidRPr="00000000">
        <w:rPr>
          <w:u w:val="single"/>
          <w:rtl w:val="0"/>
        </w:rPr>
        <w:t xml:space="preserve">pm10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Submit your code you used to create this plot, including the commands to set up the file and import the data</w:t>
      </w:r>
      <w:r w:rsidDel="00000000" w:rsidR="00000000" w:rsidRPr="00000000">
        <w:rPr>
          <w:color w:val="0000ff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(Slide 17 - </w:t>
      </w:r>
      <w:r w:rsidDel="00000000" w:rsidR="00000000" w:rsidRPr="00000000">
        <w:rPr>
          <w:i w:val="1"/>
          <w:rtl w:val="0"/>
        </w:rPr>
        <w:t xml:space="preserve">Plot 4: calendarPlot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Run the command: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calendarPlot(data)</w:t>
        <w:br w:type="textWrapping"/>
        <w:t xml:space="preserve">calendarPlot(data, annotate = "ws")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after="200" w:before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after="200" w:before="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Now, using your knowledge of R and openair, make a calendar plot for just the year 2003 tracking nitrous oxide only. Paste your code (script/data setup not necessary) and your plot below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200" w:before="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after="200" w:before="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Imagine you made a timePlot with a monthly average of co for the whole time period (you can even do this now if you wish). Why might the calendarPlot be a useful next step?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(Slide 18 - </w:t>
      </w:r>
      <w:r w:rsidDel="00000000" w:rsidR="00000000" w:rsidRPr="00000000">
        <w:rPr>
          <w:i w:val="1"/>
          <w:rtl w:val="0"/>
        </w:rPr>
        <w:t xml:space="preserve">Plot 5: polarAnnulus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Run each command, one at a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polarAnnulus(data, poll = "nox", period = "season", main = "Season")</w:t>
      </w:r>
    </w:p>
    <w:p w:rsidR="00000000" w:rsidDel="00000000" w:rsidP="00000000" w:rsidRDefault="00000000" w:rsidRPr="00000000" w14:paraId="00000069">
      <w:pPr>
        <w:spacing w:before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polarAnnulus(data, poll = "nox", period = "weekday", main = "Weekday")</w:t>
      </w:r>
    </w:p>
    <w:p w:rsidR="00000000" w:rsidDel="00000000" w:rsidP="00000000" w:rsidRDefault="00000000" w:rsidRPr="00000000" w14:paraId="0000006A">
      <w:pPr>
        <w:spacing w:before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polarAnnulus(data, poll = "nox", period = "hour", main = "Hour")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First, how are these three most obviously different (think about what different arguments they have)?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What do the colors correspond to? What does the location of that color correspond to?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before="20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Why do we need to make a ring (an annulus) rather than just a full circle (what information might be lost as we approach the center of the circle and the circumference decreases)?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(Slide 20 - </w:t>
      </w:r>
      <w:r w:rsidDel="00000000" w:rsidR="00000000" w:rsidRPr="00000000">
        <w:rPr>
          <w:i w:val="1"/>
          <w:rtl w:val="0"/>
        </w:rPr>
        <w:t xml:space="preserve">Plot 6: scatterPlot</w:t>
      </w:r>
      <w:r w:rsidDel="00000000" w:rsidR="00000000" w:rsidRPr="00000000">
        <w:rPr>
          <w:rtl w:val="0"/>
        </w:rPr>
        <w:t xml:space="preserve">)</w:t>
        <w:br w:type="textWrapping"/>
        <w:t xml:space="preserve">Finally, we’ll create a common plot for any science, the scatter plot. This command exists in base R, but openair has embellished it for our use.</w:t>
        <w:br w:type="textWrapping"/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Use the command scatterPlot to compare “no” on the x axis and “nox” on the y axis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before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scatterPlot(data, x = "...", y = "...")</w:t>
      </w:r>
    </w:p>
    <w:p w:rsidR="00000000" w:rsidDel="00000000" w:rsidP="00000000" w:rsidRDefault="00000000" w:rsidRPr="00000000" w14:paraId="00000076">
      <w:pPr>
        <w:spacing w:before="20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data2000 &lt;- selectByDate(data, year = 2000)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  <w:t xml:space="preserve">(Slide 21 - </w:t>
      </w:r>
      <w:r w:rsidDel="00000000" w:rsidR="00000000" w:rsidRPr="00000000">
        <w:rPr>
          <w:i w:val="1"/>
          <w:rtl w:val="0"/>
        </w:rPr>
        <w:t xml:space="preserve">scatterPlot (cont)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ff"/>
          <w:sz w:val="24"/>
          <w:szCs w:val="24"/>
          <w:rtl w:val="0"/>
        </w:rPr>
        <w:br w:type="textWrapping"/>
        <w:t xml:space="preserve">Add to your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scatterPlot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command the arguments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method="hexbin"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col="jet"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to do this.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How did “hexbin” change the scatter plot? How is this helpful?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before="20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Experiment with other color scales (try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help(openColours)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and see the available “schemes”). Which scale is your favorite for a heatmap?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0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before="20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Do you see any trend from the scatter plot? If so, what? You might consider if the variables have a linear relationship, if that relationship is positive or negative, etc.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before="20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(Slide 23 - </w:t>
      </w:r>
      <w:r w:rsidDel="00000000" w:rsidR="00000000" w:rsidRPr="00000000">
        <w:rPr>
          <w:i w:val="1"/>
          <w:rtl w:val="0"/>
        </w:rPr>
        <w:t xml:space="preserve">Closing Exercise: Your Choice!</w:t>
      </w:r>
      <w:r w:rsidDel="00000000" w:rsidR="00000000" w:rsidRPr="00000000">
        <w:rPr>
          <w:rtl w:val="0"/>
        </w:rPr>
        <w:t xml:space="preserve">)</w:t>
        <w:br w:type="textWrapping"/>
        <w:t xml:space="preserve">As a closing exercise, go to the openair manual and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find one plot that we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have not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seen or used today. Run the command to produce that plot for your data, paste it, and describe what the plot shows.</w:t>
      </w:r>
      <w:r w:rsidDel="00000000" w:rsidR="00000000" w:rsidRPr="00000000">
        <w:rPr>
          <w:rtl w:val="0"/>
        </w:rPr>
        <w:t xml:space="preserve"> The link to the manual 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and remember that all openair functions use similar internal arguments.</w:t>
      </w: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ENGS 37</w:t>
      <w:tab/>
      <w:tab/>
      <w:tab/>
      <w:tab/>
      <w:tab/>
      <w:tab/>
      <w:tab/>
      <w:tab/>
      <w:tab/>
      <w:tab/>
      <w:t xml:space="preserve"> Bonfert-Taylor</w:t>
    </w:r>
  </w:p>
  <w:p w:rsidR="00000000" w:rsidDel="00000000" w:rsidP="00000000" w:rsidRDefault="00000000" w:rsidRPr="00000000" w14:paraId="00000086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Intro to Env. Eng.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ookdown.org/david_carslaw/openair/" TargetMode="External"/><Relationship Id="rId7" Type="http://schemas.openxmlformats.org/officeDocument/2006/relationships/hyperlink" Target="https://github.com/davidcarslaw/openair" TargetMode="External"/><Relationship Id="rId8" Type="http://schemas.openxmlformats.org/officeDocument/2006/relationships/hyperlink" Target="https://bookdown.org/david_carslaw/opena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