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Assignment 3: Customer Development (CustDev) Report</w:t>
      </w:r>
    </w:p>
    <w:p>
      <w:pPr>
        <w:pStyle w:val="BodyText"/>
        <w:bidi w:val="0"/>
        <w:jc w:val="left"/>
        <w:rPr/>
      </w:pPr>
      <w:r>
        <w:rPr/>
        <w:t>**Course:** Technology Entrepreneurship</w:t>
      </w:r>
    </w:p>
    <w:p>
      <w:pPr>
        <w:pStyle w:val="BodyText"/>
        <w:bidi w:val="0"/>
        <w:jc w:val="left"/>
        <w:rPr/>
      </w:pPr>
      <w:r>
        <w:rPr/>
        <w:t>**Project:** SUB-CHECK — Cloud-Based Behavioral Anti-Cheat Platform</w:t>
      </w:r>
    </w:p>
    <w:p>
      <w:pPr>
        <w:pStyle w:val="BodyText"/>
        <w:bidi w:val="0"/>
        <w:jc w:val="left"/>
        <w:rPr/>
      </w:pPr>
      <w:r>
        <w:rPr/>
        <w:t>**Team Members:** Nurzhan Bekmurat, Azamat Yermukhan, Yernur Khuan</w:t>
      </w:r>
    </w:p>
    <w:p>
      <w:pPr>
        <w:pStyle w:val="BodyText"/>
        <w:bidi w:val="0"/>
        <w:jc w:val="left"/>
        <w:rPr/>
      </w:pPr>
      <w:r>
        <w:rPr/>
        <w:t>**Repository:** [https://github.com/Scirtor/subcheck-anticheat](https://github.com/Scirtor/subcheck-anticheat)</w:t>
      </w:r>
    </w:p>
    <w:p>
      <w:pPr>
        <w:pStyle w:val="BodyText"/>
        <w:bidi w:val="0"/>
        <w:jc w:val="left"/>
        <w:rPr/>
      </w:pPr>
      <w:r>
        <w:rPr/>
        <w:t>**Status:** Draft / Work in Progress (Awaiting Interview Data Collection)</w:t>
      </w:r>
    </w:p>
    <w:p>
      <w:pPr>
        <w:pStyle w:val="BodyText"/>
        <w:bidi w:val="0"/>
        <w:jc w:val="left"/>
        <w:rPr/>
      </w:pPr>
      <w:r>
        <w:rPr/>
        <w:t>---</w:t>
      </w:r>
    </w:p>
    <w:p>
      <w:pPr>
        <w:pStyle w:val="Heading2"/>
        <w:bidi w:val="0"/>
        <w:jc w:val="left"/>
        <w:rPr/>
      </w:pPr>
      <w:r>
        <w:rPr/>
        <w:t>1. Executive Summary</w:t>
      </w:r>
    </w:p>
    <w:p>
      <w:pPr>
        <w:pStyle w:val="BodyText"/>
        <w:bidi w:val="0"/>
        <w:jc w:val="left"/>
        <w:rPr/>
      </w:pPr>
      <w:r>
        <w:rPr/>
        <w:t>This report outlines the Customer Development (CustDev) study for **SUB-CHECK**, a server-side behavioral anti-cheat platform. The goal of this research is to validate customer jobs, pains, and gains within the competitive gaming market—specifically among competitive players, community organizers, and independent game studios—and test market viability for an OS-agnostic, server-side telemetry approach.</w:t>
      </w:r>
    </w:p>
    <w:p>
      <w:pPr>
        <w:pStyle w:val="BodyText"/>
        <w:bidi w:val="0"/>
        <w:jc w:val="left"/>
        <w:rPr/>
      </w:pPr>
      <w:r>
        <w:rPr/>
        <w:t>*Note: Field data collection is actively ongoing. This document contains the preparation framework, audience segmentation, questionnaire design, and analysis templates.*</w:t>
      </w:r>
    </w:p>
    <w:p>
      <w:pPr>
        <w:pStyle w:val="BodyText"/>
        <w:bidi w:val="0"/>
        <w:jc w:val="left"/>
        <w:rPr/>
      </w:pPr>
      <w:r>
        <w:rPr/>
        <w:t>---</w:t>
      </w:r>
    </w:p>
    <w:p>
      <w:pPr>
        <w:pStyle w:val="Heading2"/>
        <w:bidi w:val="0"/>
        <w:jc w:val="left"/>
        <w:rPr/>
      </w:pPr>
      <w:r>
        <w:rPr/>
        <w:t>2. Target Audience Segmentation &amp; Prioritization</w:t>
      </w:r>
    </w:p>
    <w:p>
      <w:pPr>
        <w:pStyle w:val="BodyText"/>
        <w:bidi w:val="0"/>
        <w:jc w:val="left"/>
        <w:rPr/>
      </w:pPr>
      <w:r>
        <w:rPr/>
        <w:t>To conduct structured Customer Development, our team identified three core audience segments:</w:t>
      </w:r>
    </w:p>
    <w:tbl>
      <w:tblPr>
        <w:tblW w:w="11339" w:type="dxa"/>
        <w:jc w:val="left"/>
        <w:tblInd w:w="28" w:type="dxa"/>
        <w:tblLayout w:type="fixed"/>
        <w:tblCellMar>
          <w:top w:w="28" w:type="dxa"/>
          <w:left w:w="28" w:type="dxa"/>
          <w:bottom w:w="28" w:type="dxa"/>
          <w:right w:w="28" w:type="dxa"/>
        </w:tblCellMar>
      </w:tblPr>
      <w:tblGrid>
        <w:gridCol w:w="1982"/>
        <w:gridCol w:w="2775"/>
        <w:gridCol w:w="1811"/>
        <w:gridCol w:w="1706"/>
        <w:gridCol w:w="1756"/>
        <w:gridCol w:w="1309"/>
      </w:tblGrid>
      <w:tr>
        <w:trPr/>
        <w:tc>
          <w:tcPr>
            <w:tcW w:w="1982" w:type="dxa"/>
            <w:tcBorders/>
            <w:vAlign w:val="center"/>
          </w:tcPr>
          <w:p>
            <w:pPr>
              <w:pStyle w:val="TableContents"/>
              <w:bidi w:val="0"/>
              <w:spacing w:before="0" w:after="283"/>
              <w:jc w:val="left"/>
              <w:rPr/>
            </w:pPr>
            <w:r>
              <w:rPr/>
              <w:t>Segment</w:t>
            </w:r>
          </w:p>
        </w:tc>
        <w:tc>
          <w:tcPr>
            <w:tcW w:w="2775" w:type="dxa"/>
            <w:tcBorders/>
            <w:vAlign w:val="center"/>
          </w:tcPr>
          <w:p>
            <w:pPr>
              <w:pStyle w:val="TableContents"/>
              <w:bidi w:val="0"/>
              <w:spacing w:before="0" w:after="283"/>
              <w:jc w:val="left"/>
              <w:rPr/>
            </w:pPr>
            <w:r>
              <w:rPr/>
              <w:t>Description</w:t>
            </w:r>
          </w:p>
        </w:tc>
        <w:tc>
          <w:tcPr>
            <w:tcW w:w="1811" w:type="dxa"/>
            <w:tcBorders/>
            <w:vAlign w:val="center"/>
          </w:tcPr>
          <w:p>
            <w:pPr>
              <w:pStyle w:val="TableContents"/>
              <w:bidi w:val="0"/>
              <w:spacing w:before="0" w:after="283"/>
              <w:jc w:val="left"/>
              <w:rPr/>
            </w:pPr>
            <w:r>
              <w:rPr/>
              <w:t>Accessibility (1-5)</w:t>
            </w:r>
          </w:p>
        </w:tc>
        <w:tc>
          <w:tcPr>
            <w:tcW w:w="1706" w:type="dxa"/>
            <w:tcBorders/>
            <w:vAlign w:val="center"/>
          </w:tcPr>
          <w:p>
            <w:pPr>
              <w:pStyle w:val="TableContents"/>
              <w:bidi w:val="0"/>
              <w:spacing w:before="0" w:after="283"/>
              <w:jc w:val="left"/>
              <w:rPr/>
            </w:pPr>
            <w:r>
              <w:rPr/>
              <w:t>Market Volume (1-5)</w:t>
            </w:r>
          </w:p>
        </w:tc>
        <w:tc>
          <w:tcPr>
            <w:tcW w:w="1756" w:type="dxa"/>
            <w:tcBorders/>
            <w:vAlign w:val="center"/>
          </w:tcPr>
          <w:p>
            <w:pPr>
              <w:pStyle w:val="TableContents"/>
              <w:bidi w:val="0"/>
              <w:spacing w:before="0" w:after="283"/>
              <w:jc w:val="left"/>
              <w:rPr/>
            </w:pPr>
            <w:r>
              <w:rPr/>
              <w:t>Impact / Need (1-5)</w:t>
            </w:r>
          </w:p>
        </w:tc>
        <w:tc>
          <w:tcPr>
            <w:tcW w:w="1309" w:type="dxa"/>
            <w:tcBorders/>
            <w:vAlign w:val="center"/>
          </w:tcPr>
          <w:p>
            <w:pPr>
              <w:pStyle w:val="TableContents"/>
              <w:bidi w:val="0"/>
              <w:spacing w:before="0" w:after="283"/>
              <w:jc w:val="left"/>
              <w:rPr/>
            </w:pPr>
            <w:r>
              <w:rPr/>
              <w:t>Priority Rank</w:t>
            </w:r>
          </w:p>
        </w:tc>
      </w:tr>
      <w:tr>
        <w:trPr/>
        <w:tc>
          <w:tcPr>
            <w:tcW w:w="1982" w:type="dxa"/>
            <w:tcBorders/>
            <w:vAlign w:val="center"/>
          </w:tcPr>
          <w:p>
            <w:pPr>
              <w:pStyle w:val="TableContents"/>
              <w:bidi w:val="0"/>
              <w:spacing w:before="0" w:after="283"/>
              <w:jc w:val="left"/>
              <w:rPr/>
            </w:pPr>
            <w:r>
              <w:rPr/>
              <w:t>**Segment A: Competitive &amp; Ranked Gamers**</w:t>
            </w:r>
          </w:p>
        </w:tc>
        <w:tc>
          <w:tcPr>
            <w:tcW w:w="2775" w:type="dxa"/>
            <w:tcBorders/>
            <w:vAlign w:val="center"/>
          </w:tcPr>
          <w:p>
            <w:pPr>
              <w:pStyle w:val="TableContents"/>
              <w:bidi w:val="0"/>
              <w:spacing w:before="0" w:after="283"/>
              <w:jc w:val="left"/>
              <w:rPr/>
            </w:pPr>
            <w:r>
              <w:rPr/>
              <w:t>Active players in ranked FPS games (CS2, Valorant, Apex Legends, R6 Siege) playing &gt;10 hrs/week.</w:t>
            </w:r>
          </w:p>
        </w:tc>
        <w:tc>
          <w:tcPr>
            <w:tcW w:w="1811" w:type="dxa"/>
            <w:tcBorders/>
            <w:vAlign w:val="center"/>
          </w:tcPr>
          <w:p>
            <w:pPr>
              <w:pStyle w:val="TableContents"/>
              <w:bidi w:val="0"/>
              <w:spacing w:before="0" w:after="283"/>
              <w:jc w:val="left"/>
              <w:rPr/>
            </w:pPr>
            <w:r>
              <w:rPr/>
              <w:t>5 (High — Discord, Reddit, peers)</w:t>
            </w:r>
          </w:p>
        </w:tc>
        <w:tc>
          <w:tcPr>
            <w:tcW w:w="1706" w:type="dxa"/>
            <w:tcBorders/>
            <w:vAlign w:val="center"/>
          </w:tcPr>
          <w:p>
            <w:pPr>
              <w:pStyle w:val="TableContents"/>
              <w:bidi w:val="0"/>
              <w:spacing w:before="0" w:after="283"/>
              <w:jc w:val="left"/>
              <w:rPr/>
            </w:pPr>
            <w:r>
              <w:rPr/>
              <w:t>5 (Massive — tens of millions)</w:t>
            </w:r>
          </w:p>
        </w:tc>
        <w:tc>
          <w:tcPr>
            <w:tcW w:w="1756" w:type="dxa"/>
            <w:tcBorders/>
            <w:vAlign w:val="center"/>
          </w:tcPr>
          <w:p>
            <w:pPr>
              <w:pStyle w:val="TableContents"/>
              <w:bidi w:val="0"/>
              <w:spacing w:before="0" w:after="283"/>
              <w:jc w:val="left"/>
              <w:rPr/>
            </w:pPr>
            <w:r>
              <w:rPr/>
              <w:t>4 (Directly impacted by cheaters &amp; rootkits)</w:t>
            </w:r>
          </w:p>
        </w:tc>
        <w:tc>
          <w:tcPr>
            <w:tcW w:w="1309" w:type="dxa"/>
            <w:tcBorders/>
            <w:vAlign w:val="center"/>
          </w:tcPr>
          <w:p>
            <w:pPr>
              <w:pStyle w:val="TableContents"/>
              <w:bidi w:val="0"/>
              <w:spacing w:before="0" w:after="283"/>
              <w:jc w:val="left"/>
              <w:rPr/>
            </w:pPr>
            <w:r>
              <w:rPr/>
              <w:t>**P1 (Primary)**</w:t>
            </w:r>
          </w:p>
        </w:tc>
      </w:tr>
      <w:tr>
        <w:trPr/>
        <w:tc>
          <w:tcPr>
            <w:tcW w:w="1982" w:type="dxa"/>
            <w:tcBorders/>
            <w:vAlign w:val="center"/>
          </w:tcPr>
          <w:p>
            <w:pPr>
              <w:pStyle w:val="TableContents"/>
              <w:bidi w:val="0"/>
              <w:spacing w:before="0" w:after="283"/>
              <w:jc w:val="left"/>
              <w:rPr/>
            </w:pPr>
            <w:r>
              <w:rPr/>
              <w:t>**Segment B: Community Admins &amp; Tournament Hosts**</w:t>
            </w:r>
          </w:p>
        </w:tc>
        <w:tc>
          <w:tcPr>
            <w:tcW w:w="2775" w:type="dxa"/>
            <w:tcBorders/>
            <w:vAlign w:val="center"/>
          </w:tcPr>
          <w:p>
            <w:pPr>
              <w:pStyle w:val="TableContents"/>
              <w:bidi w:val="0"/>
              <w:spacing w:before="0" w:after="283"/>
              <w:jc w:val="left"/>
              <w:rPr/>
            </w:pPr>
            <w:r>
              <w:rPr/>
              <w:t>Organizers of collegiate esports, amateur tournament brackets, and dedicated community servers.</w:t>
            </w:r>
          </w:p>
        </w:tc>
        <w:tc>
          <w:tcPr>
            <w:tcW w:w="1811" w:type="dxa"/>
            <w:tcBorders/>
            <w:vAlign w:val="center"/>
          </w:tcPr>
          <w:p>
            <w:pPr>
              <w:pStyle w:val="TableContents"/>
              <w:bidi w:val="0"/>
              <w:spacing w:before="0" w:after="283"/>
              <w:jc w:val="left"/>
              <w:rPr/>
            </w:pPr>
            <w:r>
              <w:rPr/>
              <w:t>4 (Medium-High — university clubs, clan hubs)</w:t>
            </w:r>
          </w:p>
        </w:tc>
        <w:tc>
          <w:tcPr>
            <w:tcW w:w="1706" w:type="dxa"/>
            <w:tcBorders/>
            <w:vAlign w:val="center"/>
          </w:tcPr>
          <w:p>
            <w:pPr>
              <w:pStyle w:val="TableContents"/>
              <w:bidi w:val="0"/>
              <w:spacing w:before="0" w:after="283"/>
              <w:jc w:val="left"/>
              <w:rPr/>
            </w:pPr>
            <w:r>
              <w:rPr/>
              <w:t>3 (Moderate — thousands of organizers)</w:t>
            </w:r>
          </w:p>
        </w:tc>
        <w:tc>
          <w:tcPr>
            <w:tcW w:w="1756" w:type="dxa"/>
            <w:tcBorders/>
            <w:vAlign w:val="center"/>
          </w:tcPr>
          <w:p>
            <w:pPr>
              <w:pStyle w:val="TableContents"/>
              <w:bidi w:val="0"/>
              <w:spacing w:before="0" w:after="283"/>
              <w:jc w:val="left"/>
              <w:rPr/>
            </w:pPr>
            <w:r>
              <w:rPr/>
              <w:t>5 (Critical — manual demo reviews cause burnout)</w:t>
            </w:r>
          </w:p>
        </w:tc>
        <w:tc>
          <w:tcPr>
            <w:tcW w:w="1309" w:type="dxa"/>
            <w:tcBorders/>
            <w:vAlign w:val="center"/>
          </w:tcPr>
          <w:p>
            <w:pPr>
              <w:pStyle w:val="TableContents"/>
              <w:bidi w:val="0"/>
              <w:spacing w:before="0" w:after="283"/>
              <w:jc w:val="left"/>
              <w:rPr/>
            </w:pPr>
            <w:r>
              <w:rPr/>
              <w:t>**P2 (Secondary)**</w:t>
            </w:r>
          </w:p>
        </w:tc>
      </w:tr>
      <w:tr>
        <w:trPr/>
        <w:tc>
          <w:tcPr>
            <w:tcW w:w="1982" w:type="dxa"/>
            <w:tcBorders/>
            <w:vAlign w:val="center"/>
          </w:tcPr>
          <w:p>
            <w:pPr>
              <w:pStyle w:val="TableContents"/>
              <w:bidi w:val="0"/>
              <w:spacing w:before="0" w:after="283"/>
              <w:jc w:val="left"/>
              <w:rPr/>
            </w:pPr>
            <w:r>
              <w:rPr/>
              <w:t>**Segment C: Indie &amp; Mid-Tier Game Studios**</w:t>
            </w:r>
          </w:p>
        </w:tc>
        <w:tc>
          <w:tcPr>
            <w:tcW w:w="2775" w:type="dxa"/>
            <w:tcBorders/>
            <w:vAlign w:val="center"/>
          </w:tcPr>
          <w:p>
            <w:pPr>
              <w:pStyle w:val="TableContents"/>
              <w:bidi w:val="0"/>
              <w:spacing w:before="0" w:after="283"/>
              <w:jc w:val="left"/>
              <w:rPr/>
            </w:pPr>
            <w:r>
              <w:rPr/>
              <w:t>Developers building commercial multiplayer titles without multimillion-dollar R&amp;D budgets.</w:t>
            </w:r>
          </w:p>
        </w:tc>
        <w:tc>
          <w:tcPr>
            <w:tcW w:w="1811" w:type="dxa"/>
            <w:tcBorders/>
            <w:vAlign w:val="center"/>
          </w:tcPr>
          <w:p>
            <w:pPr>
              <w:pStyle w:val="TableContents"/>
              <w:bidi w:val="0"/>
              <w:spacing w:before="0" w:after="283"/>
              <w:jc w:val="left"/>
              <w:rPr/>
            </w:pPr>
            <w:r>
              <w:rPr/>
              <w:t>3 (Moderate — itch.io, indie discords)</w:t>
            </w:r>
          </w:p>
        </w:tc>
        <w:tc>
          <w:tcPr>
            <w:tcW w:w="1706" w:type="dxa"/>
            <w:tcBorders/>
            <w:vAlign w:val="center"/>
          </w:tcPr>
          <w:p>
            <w:pPr>
              <w:pStyle w:val="TableContents"/>
              <w:bidi w:val="0"/>
              <w:spacing w:before="0" w:after="283"/>
              <w:jc w:val="left"/>
              <w:rPr/>
            </w:pPr>
            <w:r>
              <w:rPr/>
              <w:t>3 (Growing segment — thousands of studios)</w:t>
            </w:r>
          </w:p>
        </w:tc>
        <w:tc>
          <w:tcPr>
            <w:tcW w:w="1756" w:type="dxa"/>
            <w:tcBorders/>
            <w:vAlign w:val="center"/>
          </w:tcPr>
          <w:p>
            <w:pPr>
              <w:pStyle w:val="TableContents"/>
              <w:bidi w:val="0"/>
              <w:spacing w:before="0" w:after="283"/>
              <w:jc w:val="left"/>
              <w:rPr/>
            </w:pPr>
            <w:r>
              <w:rPr/>
              <w:t>5 (Extremely high — enterprise AC is unaffordable)</w:t>
            </w:r>
          </w:p>
        </w:tc>
        <w:tc>
          <w:tcPr>
            <w:tcW w:w="1309" w:type="dxa"/>
            <w:tcBorders/>
            <w:vAlign w:val="center"/>
          </w:tcPr>
          <w:p>
            <w:pPr>
              <w:pStyle w:val="TableContents"/>
              <w:bidi w:val="0"/>
              <w:spacing w:before="0" w:after="283"/>
              <w:jc w:val="left"/>
              <w:rPr/>
            </w:pPr>
            <w:r>
              <w:rPr/>
              <w:t>**P3 (Strategic B2B)**</w:t>
            </w:r>
          </w:p>
        </w:tc>
      </w:tr>
    </w:tbl>
    <w:p>
      <w:pPr>
        <w:pStyle w:val="BodyText"/>
        <w:bidi w:val="0"/>
        <w:jc w:val="left"/>
        <w:rPr/>
      </w:pPr>
      <w:r>
        <w:rPr/>
        <w:t>---</w:t>
      </w:r>
    </w:p>
    <w:p>
      <w:pPr>
        <w:pStyle w:val="Heading2"/>
        <w:bidi w:val="0"/>
        <w:jc w:val="left"/>
        <w:rPr/>
      </w:pPr>
      <w:r>
        <w:rPr/>
        <w:t>3. Customer Discovery Methodology</w:t>
      </w:r>
    </w:p>
    <w:p>
      <w:pPr>
        <w:pStyle w:val="BodyText"/>
        <w:bidi w:val="0"/>
        <w:jc w:val="left"/>
        <w:rPr/>
      </w:pPr>
      <w:r>
        <w:rPr/>
        <w:t>Our interview framework adheres to *The Mom Test* principles:</w:t>
      </w:r>
    </w:p>
    <w:p>
      <w:pPr>
        <w:pStyle w:val="BodyText"/>
        <w:numPr>
          <w:ilvl w:val="0"/>
          <w:numId w:val="1"/>
        </w:numPr>
        <w:tabs>
          <w:tab w:val="clear" w:pos="1134"/>
          <w:tab w:val="left" w:pos="720" w:leader="none"/>
        </w:tabs>
        <w:bidi w:val="0"/>
        <w:spacing w:before="0" w:after="0"/>
        <w:ind w:hanging="283" w:left="720"/>
        <w:jc w:val="left"/>
        <w:rPr/>
      </w:pPr>
      <w:r>
        <w:rPr/>
        <w:t xml:space="preserve">Focus on past behavior rather than hypothetical opinions. </w:t>
      </w:r>
    </w:p>
    <w:p>
      <w:pPr>
        <w:pStyle w:val="BodyText"/>
        <w:numPr>
          <w:ilvl w:val="0"/>
          <w:numId w:val="2"/>
        </w:numPr>
        <w:tabs>
          <w:tab w:val="clear" w:pos="1134"/>
          <w:tab w:val="left" w:pos="720" w:leader="none"/>
        </w:tabs>
        <w:bidi w:val="0"/>
        <w:spacing w:before="0" w:after="0"/>
        <w:ind w:hanging="283" w:left="720"/>
        <w:jc w:val="left"/>
        <w:rPr/>
      </w:pPr>
      <w:r>
        <w:rPr/>
        <w:t xml:space="preserve">Avoid pitching the solution during discovery questions. </w:t>
      </w:r>
    </w:p>
    <w:p>
      <w:pPr>
        <w:pStyle w:val="BodyText"/>
        <w:numPr>
          <w:ilvl w:val="0"/>
          <w:numId w:val="3"/>
        </w:numPr>
        <w:tabs>
          <w:tab w:val="clear" w:pos="1134"/>
          <w:tab w:val="left" w:pos="720" w:leader="none"/>
        </w:tabs>
        <w:bidi w:val="0"/>
        <w:ind w:hanging="283" w:left="720"/>
        <w:jc w:val="left"/>
        <w:rPr/>
      </w:pPr>
      <w:r>
        <w:rPr/>
        <w:t xml:space="preserve">Probe into emotional and financial costs of dealing with cheating and anti-cheat software. </w:t>
      </w:r>
    </w:p>
    <w:p>
      <w:pPr>
        <w:pStyle w:val="Heading3"/>
        <w:bidi w:val="0"/>
        <w:jc w:val="left"/>
        <w:rPr/>
      </w:pPr>
      <w:r>
        <w:rPr/>
        <w:t>Primary Hypotheses to Test:</w:t>
      </w:r>
    </w:p>
    <w:p>
      <w:pPr>
        <w:pStyle w:val="BodyText"/>
        <w:bidi w:val="0"/>
        <w:jc w:val="left"/>
        <w:rPr/>
      </w:pPr>
      <w:r>
        <w:rPr/>
        <w:t>1. **Kernel Driver Friction:** Players experience technical instability (crashes, BSOD) and privacy concerns with Ring 0 drivers.</w:t>
      </w:r>
    </w:p>
    <w:p>
      <w:pPr>
        <w:pStyle w:val="BodyText"/>
        <w:bidi w:val="0"/>
        <w:jc w:val="left"/>
        <w:rPr/>
      </w:pPr>
      <w:r>
        <w:rPr/>
        <w:t>2. **Hardware Exploit Gap:** Competitive organizers face growing evasion by hardware cheats (DMA cards, mouse macros) that client anti-cheats cannot reliably detect.</w:t>
      </w:r>
    </w:p>
    <w:p>
      <w:pPr>
        <w:pStyle w:val="BodyText"/>
        <w:bidi w:val="0"/>
        <w:jc w:val="left"/>
        <w:rPr/>
      </w:pPr>
      <w:r>
        <w:rPr/>
        <w:t>3. **Platform Incompatibility:** Linux and handheld (Steam Deck) gamers are disproportionately locked out by modern client anti-cheats.</w:t>
      </w:r>
    </w:p>
    <w:p>
      <w:pPr>
        <w:pStyle w:val="BodyText"/>
        <w:bidi w:val="0"/>
        <w:jc w:val="left"/>
        <w:rPr/>
      </w:pPr>
      <w:r>
        <w:rPr/>
        <w:t>4. **Indie Developer Barrier:** Indie multiplayer developers lack affordable, lightweight anti-cheat solutions.</w:t>
      </w:r>
    </w:p>
    <w:p>
      <w:pPr>
        <w:pStyle w:val="BodyText"/>
        <w:bidi w:val="0"/>
        <w:jc w:val="left"/>
        <w:rPr/>
      </w:pPr>
      <w:r>
        <w:rPr/>
        <w:t>---</w:t>
      </w:r>
    </w:p>
    <w:p>
      <w:pPr>
        <w:pStyle w:val="Heading2"/>
        <w:bidi w:val="0"/>
        <w:jc w:val="left"/>
        <w:rPr/>
      </w:pPr>
      <w:r>
        <w:rPr/>
        <w:t>4. Quantitative &amp; Statistical Analysis (Placeholder)</w:t>
      </w:r>
    </w:p>
    <w:p>
      <w:pPr>
        <w:pStyle w:val="BlockQuotation"/>
        <w:bidi w:val="0"/>
        <w:jc w:val="left"/>
        <w:rPr/>
      </w:pPr>
      <w:r>
        <w:rPr/>
        <w:t>**[WORK IN PROGRESS: DATA COLLECTION IN PROGRESS]**</w:t>
      </w:r>
    </w:p>
    <w:p>
      <w:pPr>
        <w:pStyle w:val="BlockQuotation"/>
        <w:bidi w:val="0"/>
        <w:jc w:val="left"/>
        <w:rPr/>
      </w:pPr>
      <w:r>
        <w:rPr/>
        <w:t>Target: Minimum 30 respondents (or 5 recorded in-depth video sessions).</w:t>
      </w:r>
    </w:p>
    <w:p>
      <w:pPr>
        <w:pStyle w:val="BlockQuotation"/>
        <w:bidi w:val="0"/>
        <w:jc w:val="left"/>
        <w:rPr/>
      </w:pPr>
      <w:r>
        <w:rPr/>
        <w:t>Raw data is recorded in `questionnaire/responses.csv` and processed in `analysis/analysis.xlsx`.</w:t>
      </w:r>
    </w:p>
    <w:p>
      <w:pPr>
        <w:pStyle w:val="Heading3"/>
        <w:bidi w:val="0"/>
        <w:jc w:val="left"/>
        <w:rPr/>
      </w:pPr>
      <w:r>
        <w:rPr/>
        <w:t>Visualizations to be inserted:</w:t>
      </w:r>
    </w:p>
    <w:p>
      <w:pPr>
        <w:pStyle w:val="BodyText"/>
        <w:numPr>
          <w:ilvl w:val="0"/>
          <w:numId w:val="4"/>
        </w:numPr>
        <w:tabs>
          <w:tab w:val="clear" w:pos="1134"/>
          <w:tab w:val="left" w:pos="720" w:leader="none"/>
        </w:tabs>
        <w:bidi w:val="0"/>
        <w:spacing w:before="0" w:after="0"/>
        <w:ind w:hanging="283" w:left="720"/>
        <w:jc w:val="left"/>
        <w:rPr/>
      </w:pPr>
      <w:r>
        <w:rPr/>
        <w:t xml:space="preserve">Figure 1: Audience Segment Distribution (`analysis/charts/respondent_segment_distribution.png`) </w:t>
      </w:r>
    </w:p>
    <w:p>
      <w:pPr>
        <w:pStyle w:val="BodyText"/>
        <w:numPr>
          <w:ilvl w:val="0"/>
          <w:numId w:val="5"/>
        </w:numPr>
        <w:tabs>
          <w:tab w:val="clear" w:pos="1134"/>
          <w:tab w:val="left" w:pos="720" w:leader="none"/>
        </w:tabs>
        <w:bidi w:val="0"/>
        <w:spacing w:before="0" w:after="0"/>
        <w:ind w:hanging="283" w:left="720"/>
        <w:jc w:val="left"/>
        <w:rPr/>
      </w:pPr>
      <w:r>
        <w:rPr/>
        <w:t xml:space="preserve">Figure 2: Perception of Kernel-Level Anti-Cheats (`analysis/charts/sentiment_kernel_anticheat.png`) </w:t>
      </w:r>
    </w:p>
    <w:p>
      <w:pPr>
        <w:pStyle w:val="BodyText"/>
        <w:numPr>
          <w:ilvl w:val="0"/>
          <w:numId w:val="6"/>
        </w:numPr>
        <w:tabs>
          <w:tab w:val="clear" w:pos="1134"/>
          <w:tab w:val="left" w:pos="720" w:leader="none"/>
        </w:tabs>
        <w:bidi w:val="0"/>
        <w:spacing w:before="0" w:after="0"/>
        <w:ind w:hanging="283" w:left="720"/>
        <w:jc w:val="left"/>
        <w:rPr/>
      </w:pPr>
      <w:r>
        <w:rPr/>
        <w:t xml:space="preserve">Figure 3: Receptiveness to Server-Side Behavioral Approach (`analysis/charts/attitude_towards_serverside.png`) </w:t>
      </w:r>
    </w:p>
    <w:p>
      <w:pPr>
        <w:pStyle w:val="BodyText"/>
        <w:numPr>
          <w:ilvl w:val="0"/>
          <w:numId w:val="7"/>
        </w:numPr>
        <w:tabs>
          <w:tab w:val="clear" w:pos="1134"/>
          <w:tab w:val="left" w:pos="720" w:leader="none"/>
        </w:tabs>
        <w:bidi w:val="0"/>
        <w:spacing w:before="0" w:after="0"/>
        <w:ind w:hanging="283" w:left="720"/>
        <w:jc w:val="left"/>
        <w:rPr/>
      </w:pPr>
      <w:r>
        <w:rPr/>
        <w:t xml:space="preserve">Figure 4: Cheater Encounter Frequency (`analysis/charts/cheater_encounter_frequency.png`) </w:t>
      </w:r>
    </w:p>
    <w:p>
      <w:pPr>
        <w:pStyle w:val="BodyText"/>
        <w:numPr>
          <w:ilvl w:val="0"/>
          <w:numId w:val="8"/>
        </w:numPr>
        <w:tabs>
          <w:tab w:val="clear" w:pos="1134"/>
          <w:tab w:val="left" w:pos="720" w:leader="none"/>
        </w:tabs>
        <w:bidi w:val="0"/>
        <w:ind w:hanging="283" w:left="720"/>
        <w:jc w:val="left"/>
        <w:rPr/>
      </w:pPr>
      <w:r>
        <w:rPr/>
        <w:t xml:space="preserve">Figure 5: Willingness to Participate in Prototype Pilot (`analysis/charts/willingness_to_pilot.png`) </w:t>
      </w:r>
    </w:p>
    <w:p>
      <w:pPr>
        <w:pStyle w:val="BodyText"/>
        <w:bidi w:val="0"/>
        <w:jc w:val="left"/>
        <w:rPr/>
      </w:pPr>
      <w:r>
        <w:rPr/>
        <w:t>---</w:t>
      </w:r>
    </w:p>
    <w:p>
      <w:pPr>
        <w:pStyle w:val="Heading2"/>
        <w:bidi w:val="0"/>
        <w:jc w:val="left"/>
        <w:rPr/>
      </w:pPr>
      <w:r>
        <w:rPr/>
        <w:t>5. Key Customer Insights &amp; Interview Transcripts (Placeholder)</w:t>
      </w:r>
    </w:p>
    <w:p>
      <w:pPr>
        <w:pStyle w:val="BlockQuotation"/>
        <w:bidi w:val="0"/>
        <w:jc w:val="left"/>
        <w:rPr/>
      </w:pPr>
      <w:r>
        <w:rPr/>
        <w:t>**[WORK IN PROGRESS: INTERVIEWS UNDERWAY]**</w:t>
      </w:r>
    </w:p>
    <w:p>
      <w:pPr>
        <w:pStyle w:val="BlockQuotation"/>
        <w:bidi w:val="0"/>
        <w:jc w:val="left"/>
        <w:rPr/>
      </w:pPr>
      <w:r>
        <w:rPr/>
        <w:t>Direct quotes, recorded interview summaries, and key takeaways will be documented here upon completion of interviews.</w:t>
      </w:r>
    </w:p>
    <w:p>
      <w:pPr>
        <w:pStyle w:val="BlockQuotation"/>
        <w:bidi w:val="0"/>
        <w:jc w:val="left"/>
        <w:rPr/>
      </w:pPr>
      <w:r>
        <w:rPr/>
        <w:t>Supporting notes will be stored in `evidence/interview_notes/` and `evidence/screenshots/`.</w:t>
      </w:r>
    </w:p>
    <w:p>
      <w:pPr>
        <w:pStyle w:val="BodyText"/>
        <w:bidi w:val="0"/>
        <w:jc w:val="left"/>
        <w:rPr/>
      </w:pPr>
      <w:r>
        <w:rPr/>
        <w:t>---</w:t>
      </w:r>
    </w:p>
    <w:p>
      <w:pPr>
        <w:pStyle w:val="Heading2"/>
        <w:bidi w:val="0"/>
        <w:jc w:val="left"/>
        <w:rPr/>
      </w:pPr>
      <w:r>
        <w:rPr/>
        <w:t>6. Business Idea &amp; Model Updates (Post-CustDev)</w:t>
      </w:r>
    </w:p>
    <w:p>
      <w:pPr>
        <w:pStyle w:val="BlockQuotation"/>
        <w:bidi w:val="0"/>
        <w:jc w:val="left"/>
        <w:rPr/>
      </w:pPr>
      <w:r>
        <w:rPr/>
        <w:t>**[WORK IN PROGRESS]**</w:t>
      </w:r>
    </w:p>
    <w:p>
      <w:pPr>
        <w:pStyle w:val="BlockQuotation"/>
        <w:bidi w:val="0"/>
        <w:jc w:val="left"/>
        <w:rPr/>
      </w:pPr>
      <w:r>
        <w:rPr/>
        <w:t>Changes to the Value Proposition Canvas, pricing strategy, and product roadmap will be finalized based on analyzed respondent feedback.</w:t>
      </w:r>
    </w:p>
    <w:p>
      <w:pPr>
        <w:pStyle w:val="BodyText"/>
        <w:bidi w:val="0"/>
        <w:jc w:val="left"/>
        <w:rPr/>
      </w:pPr>
      <w:r>
        <w:rPr/>
        <w:t>---</w:t>
      </w:r>
    </w:p>
    <w:p>
      <w:pPr>
        <w:pStyle w:val="Heading2"/>
        <w:bidi w:val="0"/>
        <w:jc w:val="left"/>
        <w:rPr/>
      </w:pPr>
      <w:r>
        <w:rPr/>
        <w:t>7. Conclusion &amp; Next Steps</w:t>
      </w:r>
    </w:p>
    <w:p>
      <w:pPr>
        <w:pStyle w:val="BodyText"/>
        <w:bidi w:val="0"/>
        <w:spacing w:before="0" w:after="283"/>
        <w:jc w:val="left"/>
        <w:rPr/>
      </w:pPr>
      <w:r>
        <w:rPr/>
        <w:t>Following data collection and synthesis, the final findings and updated business model will be compiled into the final submission report and presentation deck.</w:t>
      </w:r>
    </w:p>
    <w:sectPr>
      <w:type w:val="nextPage"/>
      <w:pgSz w:w="11906" w:h="16838"/>
      <w:pgMar w:left="1134" w:right="567" w:gutter="0" w:header="0" w:top="567" w:footer="0" w:bottom="56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ans-serif">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sans-serif" w:hAnsi="sans-serif" w:eastAsia="sans-serif" w:cs="sans-serif"/>
      <w:color w:val="2D3748"/>
      <w:sz w:val="20"/>
      <w:szCs w:val="20"/>
      <w:lang w:val="en-US" w:eastAsia="zh-CN" w:bidi="hi-IN"/>
    </w:rPr>
  </w:style>
  <w:style w:type="paragraph" w:styleId="Heading1">
    <w:name w:val="heading 1"/>
    <w:basedOn w:val="Heading"/>
    <w:next w:val="BodyText"/>
    <w:qFormat/>
    <w:pPr>
      <w:pBdr>
        <w:bottom w:val="single" w:sz="12" w:space="5" w:color="2B6CB0"/>
      </w:pBdr>
    </w:pPr>
    <w:rPr>
      <w:b/>
      <w:bCs/>
      <w:color w:val="1A365D"/>
      <w:sz w:val="36"/>
      <w:szCs w:val="36"/>
    </w:rPr>
  </w:style>
  <w:style w:type="paragraph" w:styleId="Heading2">
    <w:name w:val="heading 2"/>
    <w:basedOn w:val="Heading"/>
    <w:next w:val="BodyText"/>
    <w:qFormat/>
    <w:pPr>
      <w:pBdr>
        <w:bottom w:val="single" w:sz="2" w:space="3" w:color="E2E8F0"/>
      </w:pBdr>
      <w:spacing w:before="300" w:after="120"/>
      <w:outlineLvl w:val="1"/>
    </w:pPr>
    <w:rPr>
      <w:rFonts w:ascii="Liberation Serif" w:hAnsi="Liberation Serif" w:eastAsia="Noto Serif CJK SC" w:cs="Noto Sans Devanagari"/>
      <w:b/>
      <w:bCs/>
      <w:color w:val="2B6CB0"/>
      <w:sz w:val="26"/>
      <w:szCs w:val="26"/>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D3748"/>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24" w:space="8" w:color="D69E2E"/>
      </w:pBdr>
      <w:shd w:fill="FEFCBF" w:val="clear"/>
      <w:spacing w:before="180" w:after="180"/>
      <w:ind w:hanging="0" w:left="180" w:right="180"/>
    </w:pPr>
    <w:rPr>
      <w:color w:val="744210"/>
    </w:rPr>
  </w:style>
  <w:style w:type="paragraph" w:styleId="TableHeading">
    <w:name w:val="Table Heading"/>
    <w:basedOn w:val="TableContents"/>
    <w:qFormat/>
    <w:pPr>
      <w:suppressLineNumbers/>
      <w:shd w:fill="EBF8FF" w:val="clear"/>
      <w:jc w:val="left"/>
    </w:pPr>
    <w:rPr>
      <w:b/>
      <w:bCs/>
      <w:color w:val="2B6CB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Assignment 3 CustDev Report (Draft)</dc:title>
</cp:coreProperties>
</file>

<file path=docProps/custom.xml><?xml version="1.0" encoding="utf-8"?>
<Properties xmlns="http://schemas.openxmlformats.org/officeDocument/2006/custom-properties" xmlns:vt="http://schemas.openxmlformats.org/officeDocument/2006/docPropsVTypes"/>
</file>