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0CB0C" w14:textId="6BDC59CF" w:rsidR="00DD2E51" w:rsidRPr="00DD2E51" w:rsidRDefault="00D61232" w:rsidP="00A3341C">
      <w:pPr>
        <w:spacing w:after="0" w:line="240" w:lineRule="auto"/>
        <w:contextualSpacing/>
        <w:jc w:val="both"/>
        <w:rPr>
          <w:rFonts w:asciiTheme="majorHAnsi" w:eastAsiaTheme="majorEastAsia" w:hAnsiTheme="majorHAnsi" w:cstheme="majorBidi"/>
          <w:spacing w:val="-10"/>
          <w:kern w:val="28"/>
          <w:sz w:val="56"/>
          <w:szCs w:val="56"/>
        </w:rPr>
      </w:pPr>
      <w:bookmarkStart w:id="0" w:name="_Hlk44258485"/>
      <w:bookmarkEnd w:id="0"/>
      <w:r>
        <w:rPr>
          <w:noProof/>
        </w:rPr>
        <mc:AlternateContent>
          <mc:Choice Requires="wps">
            <w:drawing>
              <wp:anchor distT="0" distB="0" distL="114300" distR="114300" simplePos="0" relativeHeight="251660292" behindDoc="0" locked="0" layoutInCell="1" allowOverlap="1" wp14:anchorId="7B0F325E" wp14:editId="26F71919">
                <wp:simplePos x="0" y="0"/>
                <wp:positionH relativeFrom="column">
                  <wp:posOffset>-8890</wp:posOffset>
                </wp:positionH>
                <wp:positionV relativeFrom="paragraph">
                  <wp:posOffset>0</wp:posOffset>
                </wp:positionV>
                <wp:extent cx="6409055" cy="1075055"/>
                <wp:effectExtent l="0" t="0" r="17145" b="17145"/>
                <wp:wrapSquare wrapText="bothSides"/>
                <wp:docPr id="1" name="Text Box 1"/>
                <wp:cNvGraphicFramePr/>
                <a:graphic xmlns:a="http://schemas.openxmlformats.org/drawingml/2006/main">
                  <a:graphicData uri="http://schemas.microsoft.com/office/word/2010/wordprocessingShape">
                    <wps:wsp>
                      <wps:cNvSpPr txBox="1"/>
                      <wps:spPr>
                        <a:xfrm>
                          <a:off x="0" y="0"/>
                          <a:ext cx="6409055" cy="1075055"/>
                        </a:xfrm>
                        <a:prstGeom prst="rect">
                          <a:avLst/>
                        </a:prstGeom>
                        <a:solidFill>
                          <a:schemeClr val="accent6">
                            <a:lumMod val="20000"/>
                            <a:lumOff val="80000"/>
                          </a:schemeClr>
                        </a:solidFill>
                        <a:ln w="6350">
                          <a:solidFill>
                            <a:prstClr val="black"/>
                          </a:solidFill>
                        </a:ln>
                      </wps:spPr>
                      <wps:txbx>
                        <w:txbxContent>
                          <w:p w14:paraId="65DB62A8" w14:textId="77777777" w:rsidR="00D61232" w:rsidRPr="009C1555" w:rsidRDefault="00D61232" w:rsidP="00D61232">
                            <w:pPr>
                              <w:pStyle w:val="NoSpacing"/>
                              <w:jc w:val="center"/>
                              <w:rPr>
                                <w:sz w:val="20"/>
                                <w:szCs w:val="20"/>
                              </w:rPr>
                            </w:pPr>
                            <w:r w:rsidRPr="009C1555">
                              <w:rPr>
                                <w:sz w:val="20"/>
                                <w:szCs w:val="20"/>
                              </w:rPr>
                              <w:t xml:space="preserve">This document is part of series of worked examples intended to demonstrate key functionalities of the </w:t>
                            </w:r>
                            <w:r>
                              <w:rPr>
                                <w:sz w:val="20"/>
                                <w:szCs w:val="20"/>
                              </w:rPr>
                              <w:t xml:space="preserve">Population </w:t>
                            </w:r>
                            <w:proofErr w:type="spellStart"/>
                            <w:r>
                              <w:rPr>
                                <w:sz w:val="20"/>
                                <w:szCs w:val="20"/>
                              </w:rPr>
                              <w:t>Lifecourse</w:t>
                            </w:r>
                            <w:proofErr w:type="spellEnd"/>
                            <w:r>
                              <w:rPr>
                                <w:sz w:val="20"/>
                                <w:szCs w:val="20"/>
                              </w:rPr>
                              <w:t xml:space="preserve"> to Health Effects Modeling (PLETHEM) Suite. This document should be treated as draft and is currently released as a </w:t>
                            </w:r>
                            <w:r w:rsidRPr="009C1555">
                              <w:rPr>
                                <w:i/>
                                <w:iCs/>
                                <w:sz w:val="20"/>
                                <w:szCs w:val="20"/>
                              </w:rPr>
                              <w:t>public beta</w:t>
                            </w:r>
                            <w:r>
                              <w:rPr>
                                <w:sz w:val="20"/>
                                <w:szCs w:val="20"/>
                              </w:rPr>
                              <w:t>.</w:t>
                            </w:r>
                          </w:p>
                          <w:p w14:paraId="2C64B9F9" w14:textId="77777777" w:rsidR="00D61232" w:rsidRPr="009C1555" w:rsidRDefault="00D61232" w:rsidP="00D61232">
                            <w:pPr>
                              <w:pStyle w:val="NoSpacing"/>
                              <w:jc w:val="center"/>
                              <w:rPr>
                                <w:sz w:val="20"/>
                                <w:szCs w:val="20"/>
                              </w:rPr>
                            </w:pPr>
                            <w:r>
                              <w:rPr>
                                <w:sz w:val="20"/>
                                <w:szCs w:val="20"/>
                              </w:rPr>
                              <w:t>D</w:t>
                            </w:r>
                            <w:r w:rsidRPr="009C1555">
                              <w:rPr>
                                <w:sz w:val="20"/>
                                <w:szCs w:val="20"/>
                              </w:rPr>
                              <w:t xml:space="preserve">ocumentation can be found at </w:t>
                            </w:r>
                            <w:hyperlink r:id="rId11" w:history="1">
                              <w:r w:rsidRPr="009C1555">
                                <w:rPr>
                                  <w:rStyle w:val="Hyperlink"/>
                                  <w:sz w:val="20"/>
                                  <w:szCs w:val="20"/>
                                </w:rPr>
                                <w:t>https://scitovation.com/plethem</w:t>
                              </w:r>
                            </w:hyperlink>
                          </w:p>
                          <w:p w14:paraId="2F3F515C" w14:textId="77777777" w:rsidR="00D61232" w:rsidRPr="009C1555" w:rsidRDefault="00D61232" w:rsidP="00D61232">
                            <w:pPr>
                              <w:pStyle w:val="NoSpacing"/>
                              <w:jc w:val="center"/>
                              <w:rPr>
                                <w:sz w:val="20"/>
                                <w:szCs w:val="20"/>
                              </w:rPr>
                            </w:pPr>
                            <w:r w:rsidRPr="009C1555">
                              <w:rPr>
                                <w:sz w:val="20"/>
                                <w:szCs w:val="20"/>
                              </w:rPr>
                              <w:t xml:space="preserve">Questions and comments about PLETHEM or about this document are welcomed at </w:t>
                            </w:r>
                            <w:hyperlink r:id="rId12" w:history="1">
                              <w:r w:rsidRPr="009C1555">
                                <w:rPr>
                                  <w:rStyle w:val="Hyperlink"/>
                                  <w:sz w:val="20"/>
                                  <w:szCs w:val="20"/>
                                </w:rPr>
                                <w:t>plethem@scitovation.com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F325E" id="_x0000_t202" coordsize="21600,21600" o:spt="202" path="m,l,21600r21600,l21600,xe">
                <v:stroke joinstyle="miter"/>
                <v:path gradientshapeok="t" o:connecttype="rect"/>
              </v:shapetype>
              <v:shape id="Text Box 1" o:spid="_x0000_s1026" type="#_x0000_t202" style="position:absolute;left:0;text-align:left;margin-left:-.7pt;margin-top:0;width:504.65pt;height:84.65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" fillcolor="#e2efd9 [665]" strokeweight=".5pt">
                <v:textbox>
                  <w:txbxContent>
                    <w:p w14:paraId="65DB62A8" w14:textId="77777777" w:rsidR="00D61232" w:rsidRPr="009C1555" w:rsidRDefault="00D61232" w:rsidP="00D61232">
                      <w:pPr>
                        <w:pStyle w:val="NoSpacing"/>
                        <w:jc w:val="center"/>
                        <w:rPr>
                          <w:sz w:val="20"/>
                          <w:szCs w:val="20"/>
                        </w:rPr>
                      </w:pPr>
                      <w:r w:rsidRPr="009C1555">
                        <w:rPr>
                          <w:sz w:val="20"/>
                          <w:szCs w:val="20"/>
                        </w:rPr>
                        <w:t xml:space="preserve">This document is part of series of worked examples intended to demonstrate key functionalities of the </w:t>
                      </w:r>
                      <w:r>
                        <w:rPr>
                          <w:sz w:val="20"/>
                          <w:szCs w:val="20"/>
                        </w:rPr>
                        <w:t xml:space="preserve">Population </w:t>
                      </w:r>
                      <w:proofErr w:type="spellStart"/>
                      <w:r>
                        <w:rPr>
                          <w:sz w:val="20"/>
                          <w:szCs w:val="20"/>
                        </w:rPr>
                        <w:t>Lifecourse</w:t>
                      </w:r>
                      <w:proofErr w:type="spellEnd"/>
                      <w:r>
                        <w:rPr>
                          <w:sz w:val="20"/>
                          <w:szCs w:val="20"/>
                        </w:rPr>
                        <w:t xml:space="preserve"> to Health Effects Modeling (PLETHEM) Suite. This document should be treated as draft and is currently released as a </w:t>
                      </w:r>
                      <w:r w:rsidRPr="009C1555">
                        <w:rPr>
                          <w:i/>
                          <w:iCs/>
                          <w:sz w:val="20"/>
                          <w:szCs w:val="20"/>
                        </w:rPr>
                        <w:t>public beta</w:t>
                      </w:r>
                      <w:r>
                        <w:rPr>
                          <w:sz w:val="20"/>
                          <w:szCs w:val="20"/>
                        </w:rPr>
                        <w:t>.</w:t>
                      </w:r>
                    </w:p>
                    <w:p w14:paraId="2C64B9F9" w14:textId="77777777" w:rsidR="00D61232" w:rsidRPr="009C1555" w:rsidRDefault="00D61232" w:rsidP="00D61232">
                      <w:pPr>
                        <w:pStyle w:val="NoSpacing"/>
                        <w:jc w:val="center"/>
                        <w:rPr>
                          <w:sz w:val="20"/>
                          <w:szCs w:val="20"/>
                        </w:rPr>
                      </w:pPr>
                      <w:r>
                        <w:rPr>
                          <w:sz w:val="20"/>
                          <w:szCs w:val="20"/>
                        </w:rPr>
                        <w:t>D</w:t>
                      </w:r>
                      <w:r w:rsidRPr="009C1555">
                        <w:rPr>
                          <w:sz w:val="20"/>
                          <w:szCs w:val="20"/>
                        </w:rPr>
                        <w:t xml:space="preserve">ocumentation can be found at </w:t>
                      </w:r>
                      <w:hyperlink r:id="rId13" w:history="1">
                        <w:r w:rsidRPr="009C1555">
                          <w:rPr>
                            <w:rStyle w:val="Hyperlink"/>
                            <w:sz w:val="20"/>
                            <w:szCs w:val="20"/>
                          </w:rPr>
                          <w:t>https://scitovation.com/plethem</w:t>
                        </w:r>
                      </w:hyperlink>
                    </w:p>
                    <w:p w14:paraId="2F3F515C" w14:textId="77777777" w:rsidR="00D61232" w:rsidRPr="009C1555" w:rsidRDefault="00D61232" w:rsidP="00D61232">
                      <w:pPr>
                        <w:pStyle w:val="NoSpacing"/>
                        <w:jc w:val="center"/>
                        <w:rPr>
                          <w:sz w:val="20"/>
                          <w:szCs w:val="20"/>
                        </w:rPr>
                      </w:pPr>
                      <w:r w:rsidRPr="009C1555">
                        <w:rPr>
                          <w:sz w:val="20"/>
                          <w:szCs w:val="20"/>
                        </w:rPr>
                        <w:t xml:space="preserve">Questions and comments about PLETHEM or about this document are welcomed at </w:t>
                      </w:r>
                      <w:hyperlink r:id="rId14" w:history="1">
                        <w:r w:rsidRPr="009C1555">
                          <w:rPr>
                            <w:rStyle w:val="Hyperlink"/>
                            <w:sz w:val="20"/>
                            <w:szCs w:val="20"/>
                          </w:rPr>
                          <w:t>plethem@scitovation.com</w:t>
                        </w:r>
                      </w:hyperlink>
                    </w:p>
                  </w:txbxContent>
                </v:textbox>
                <w10:wrap type="square"/>
              </v:shape>
            </w:pict>
          </mc:Fallback>
        </mc:AlternateContent>
      </w:r>
      <w:r w:rsidR="00DD2E51" w:rsidRPr="00DD2E51">
        <w:rPr>
          <w:rFonts w:asciiTheme="majorHAnsi" w:eastAsiaTheme="majorEastAsia" w:hAnsiTheme="majorHAnsi" w:cstheme="majorBidi"/>
          <w:spacing w:val="-10"/>
          <w:kern w:val="28"/>
          <w:sz w:val="56"/>
          <w:szCs w:val="56"/>
        </w:rPr>
        <w:t>PLETHEM Workflow Tutorial Series</w:t>
      </w:r>
    </w:p>
    <w:p w14:paraId="79F7A7FF" w14:textId="6C03350A" w:rsidR="009755CA" w:rsidRPr="009755CA" w:rsidRDefault="00640C6B" w:rsidP="00A3341C">
      <w:pPr>
        <w:jc w:val="both"/>
      </w:pPr>
      <w:r>
        <w:rPr>
          <w:i/>
          <w:iCs/>
          <w:color w:val="404040" w:themeColor="text1" w:themeTint="BF"/>
        </w:rPr>
        <w:t>Using HT-IVIVE to estimate equivalent applied dose and margin of exposure from in vitro data</w:t>
      </w:r>
    </w:p>
    <w:p w14:paraId="45260B23" w14:textId="3A52E148" w:rsidR="00D43CD8" w:rsidRPr="00C31991" w:rsidRDefault="00A7690D" w:rsidP="00A3341C">
      <w:pPr>
        <w:pStyle w:val="ListParagraph"/>
        <w:numPr>
          <w:ilvl w:val="0"/>
          <w:numId w:val="21"/>
        </w:numPr>
        <w:ind w:left="360"/>
        <w:jc w:val="both"/>
        <w:rPr>
          <w:rFonts w:asciiTheme="majorHAnsi" w:eastAsiaTheme="majorEastAsia" w:hAnsiTheme="majorHAnsi" w:cstheme="majorBidi"/>
          <w:color w:val="2F5496" w:themeColor="accent1" w:themeShade="BF"/>
          <w:sz w:val="32"/>
          <w:szCs w:val="32"/>
        </w:rPr>
      </w:pPr>
      <w:r w:rsidRPr="00C31991">
        <w:rPr>
          <w:rFonts w:asciiTheme="majorHAnsi" w:eastAsiaTheme="majorEastAsia" w:hAnsiTheme="majorHAnsi" w:cstheme="majorBidi"/>
          <w:color w:val="2F5496" w:themeColor="accent1" w:themeShade="BF"/>
          <w:sz w:val="32"/>
          <w:szCs w:val="32"/>
        </w:rPr>
        <w:t>Introduction</w:t>
      </w:r>
    </w:p>
    <w:p w14:paraId="02835A1F" w14:textId="4F13F83C" w:rsidR="00BB34BA" w:rsidRDefault="00751093" w:rsidP="00A3341C">
      <w:pPr>
        <w:jc w:val="both"/>
      </w:pPr>
      <w:r>
        <w:t>High-</w:t>
      </w:r>
      <w:r w:rsidR="00B61B0D">
        <w:t>T</w:t>
      </w:r>
      <w:r>
        <w:t>hroughput</w:t>
      </w:r>
      <w:r w:rsidR="000A06E3">
        <w:t xml:space="preserve"> In </w:t>
      </w:r>
      <w:r w:rsidR="00B61B0D">
        <w:t>V</w:t>
      </w:r>
      <w:r w:rsidR="000A06E3">
        <w:t xml:space="preserve">itro to In </w:t>
      </w:r>
      <w:r w:rsidR="00B61B0D">
        <w:t>V</w:t>
      </w:r>
      <w:r w:rsidR="000A06E3">
        <w:t xml:space="preserve">ivo Extrapolation </w:t>
      </w:r>
      <w:r w:rsidR="005A6E77">
        <w:t xml:space="preserve">(HT-IVIVE) </w:t>
      </w:r>
      <w:r>
        <w:t xml:space="preserve">is a valuable tool </w:t>
      </w:r>
      <w:r w:rsidR="00B61B0D">
        <w:t xml:space="preserve">that </w:t>
      </w:r>
      <w:r w:rsidR="00ED3B63">
        <w:t>quickly extrapolat</w:t>
      </w:r>
      <w:r w:rsidR="00B61B0D">
        <w:t>es</w:t>
      </w:r>
      <w:r w:rsidR="00ED3B63">
        <w:t xml:space="preserve"> an in</w:t>
      </w:r>
      <w:r w:rsidR="00BB3449">
        <w:t xml:space="preserve"> </w:t>
      </w:r>
      <w:r w:rsidR="00ED3B63">
        <w:t>vitro point of departure to an equivalent applied dose in vivo</w:t>
      </w:r>
      <w:r w:rsidR="00E6172F">
        <w:t xml:space="preserve">. </w:t>
      </w:r>
      <w:r w:rsidR="005A6E77">
        <w:t xml:space="preserve">HT-IVIVE </w:t>
      </w:r>
      <w:r w:rsidR="00F16BF5">
        <w:t>converts active concentrations</w:t>
      </w:r>
      <w:r w:rsidR="00C21B1A">
        <w:t xml:space="preserve"> from an in vitro assay to a human equi</w:t>
      </w:r>
      <w:r w:rsidR="00EA041C">
        <w:t>v</w:t>
      </w:r>
      <w:r w:rsidR="00C21B1A">
        <w:t>alent dose</w:t>
      </w:r>
      <w:r w:rsidR="00EA041C">
        <w:t xml:space="preserve"> or human exposure </w:t>
      </w:r>
      <w:r w:rsidR="0074182B">
        <w:t xml:space="preserve">that </w:t>
      </w:r>
      <w:r w:rsidR="00B61B0D">
        <w:t>should</w:t>
      </w:r>
      <w:r w:rsidR="0074182B">
        <w:t xml:space="preserve"> produce concentrations in an exposed </w:t>
      </w:r>
      <w:r w:rsidR="00B61B0D">
        <w:t xml:space="preserve">individual </w:t>
      </w:r>
      <w:r w:rsidR="0074182B">
        <w:t>equal to the active concentration from the in vitro study</w:t>
      </w:r>
      <w:r w:rsidR="00B61B0D">
        <w:t>.</w:t>
      </w:r>
      <w:r w:rsidR="000210A7">
        <w:rPr>
          <w:rStyle w:val="FootnoteReference"/>
        </w:rPr>
        <w:footnoteReference w:id="2"/>
      </w:r>
      <w:r w:rsidR="00346EFE">
        <w:t xml:space="preserve"> </w:t>
      </w:r>
      <w:r w:rsidR="00E6172F">
        <w:t>Th</w:t>
      </w:r>
      <w:r w:rsidR="00DF433D">
        <w:t xml:space="preserve">e equivalent applied dose can then be compared to </w:t>
      </w:r>
      <w:r w:rsidR="004C24AF">
        <w:t xml:space="preserve">an estimated exposure to obtain a margin of exposure </w:t>
      </w:r>
      <w:r w:rsidR="00AB764B">
        <w:t xml:space="preserve">(MOE) </w:t>
      </w:r>
      <w:r w:rsidR="004C24AF">
        <w:t>for in</w:t>
      </w:r>
      <w:r w:rsidR="0008168B">
        <w:t xml:space="preserve"> </w:t>
      </w:r>
      <w:r w:rsidR="004C24AF">
        <w:t>vitro P</w:t>
      </w:r>
      <w:r w:rsidR="00AB764B">
        <w:t xml:space="preserve">oint </w:t>
      </w:r>
      <w:r w:rsidR="002C74B8">
        <w:t>o</w:t>
      </w:r>
      <w:r w:rsidR="00AB764B">
        <w:t xml:space="preserve">f </w:t>
      </w:r>
      <w:r w:rsidR="004C24AF">
        <w:t>D</w:t>
      </w:r>
      <w:r w:rsidR="00AB764B">
        <w:t>eparture (</w:t>
      </w:r>
      <w:r w:rsidR="004C24AF">
        <w:t>POD</w:t>
      </w:r>
      <w:r w:rsidR="00AB764B">
        <w:t>)</w:t>
      </w:r>
      <w:r w:rsidR="004C24AF">
        <w:t xml:space="preserve">. In this case study we establish a margin of exposure for </w:t>
      </w:r>
      <w:r w:rsidR="005607AB">
        <w:t>c</w:t>
      </w:r>
      <w:r w:rsidR="004C24AF">
        <w:t>oumarin</w:t>
      </w:r>
      <w:r w:rsidR="00B22B1C">
        <w:t>.</w:t>
      </w:r>
    </w:p>
    <w:p w14:paraId="145E8FA1" w14:textId="71F66792" w:rsidR="00A95167" w:rsidRDefault="00A95167" w:rsidP="00A95167">
      <w:pPr>
        <w:pStyle w:val="Heading1"/>
        <w:numPr>
          <w:ilvl w:val="0"/>
          <w:numId w:val="21"/>
        </w:numPr>
        <w:ind w:left="360"/>
        <w:jc w:val="both"/>
      </w:pPr>
      <w:r>
        <w:t>What this tutorial covers</w:t>
      </w:r>
    </w:p>
    <w:p w14:paraId="14F044E7" w14:textId="0F30F5F5" w:rsidR="00A95167" w:rsidRDefault="006366DB" w:rsidP="00D344FC">
      <w:pPr>
        <w:jc w:val="both"/>
      </w:pPr>
      <w:r>
        <w:t xml:space="preserve">In vitro assays </w:t>
      </w:r>
      <w:r w:rsidR="00E56B4A">
        <w:t>are</w:t>
      </w:r>
      <w:r>
        <w:t xml:space="preserve"> </w:t>
      </w:r>
      <w:r w:rsidR="008F3C24">
        <w:t xml:space="preserve">becoming more widespread for estimating hazard posed by the chemical being studied. They offer the </w:t>
      </w:r>
      <w:r w:rsidR="00683326">
        <w:t xml:space="preserve">ability to estimate hazard along specific modes of action at a fraction of the cost of traditional </w:t>
      </w:r>
      <w:r w:rsidR="00F71718">
        <w:t>risk assessments</w:t>
      </w:r>
      <w:r w:rsidR="00683326">
        <w:t>.</w:t>
      </w:r>
      <w:r w:rsidR="004E1D6A">
        <w:t xml:space="preserve"> HT-IVIVE was developed </w:t>
      </w:r>
      <w:r w:rsidR="000B5743">
        <w:t xml:space="preserve">as </w:t>
      </w:r>
      <w:r w:rsidR="004E1D6A">
        <w:t>a way to extrapolate this in vitro POD</w:t>
      </w:r>
      <w:r w:rsidR="00BF273F">
        <w:t xml:space="preserve"> to </w:t>
      </w:r>
      <w:r w:rsidR="0086B34E">
        <w:t xml:space="preserve">its </w:t>
      </w:r>
      <w:r w:rsidR="00BF273F">
        <w:t xml:space="preserve">equivalent value in vivo. These equivalent exposures can then be compared to </w:t>
      </w:r>
      <w:r w:rsidR="00B3379B">
        <w:t xml:space="preserve">environmental exposures to obtain a risk metric for the chemical. </w:t>
      </w:r>
      <w:r w:rsidR="00D47622">
        <w:t xml:space="preserve">HT-IVIVE requires </w:t>
      </w:r>
      <w:r w:rsidR="00521948">
        <w:t>clearance data, physical-chemical parameters</w:t>
      </w:r>
      <w:r w:rsidR="00F71718">
        <w:t>,</w:t>
      </w:r>
      <w:r w:rsidR="00521948">
        <w:t xml:space="preserve"> and </w:t>
      </w:r>
      <w:r w:rsidR="005046AD">
        <w:t>physiological information about target species to extrapolate in vivo exposures</w:t>
      </w:r>
      <w:r w:rsidR="00113965">
        <w:t>.</w:t>
      </w:r>
    </w:p>
    <w:p w14:paraId="5A8CCEB5" w14:textId="75D78692" w:rsidR="00044E58" w:rsidRDefault="00B3379B" w:rsidP="00D344FC">
      <w:pPr>
        <w:jc w:val="both"/>
      </w:pPr>
      <w:r>
        <w:t xml:space="preserve">In this case study, we will use PLETHEM to </w:t>
      </w:r>
      <w:r w:rsidR="005607AB">
        <w:t xml:space="preserve">extrapolate in vitro POD for </w:t>
      </w:r>
      <w:r w:rsidR="00E25675">
        <w:t>C</w:t>
      </w:r>
      <w:r w:rsidR="005607AB">
        <w:t xml:space="preserve">oumarin into </w:t>
      </w:r>
      <w:r w:rsidR="00F71718">
        <w:t xml:space="preserve">an </w:t>
      </w:r>
      <w:r w:rsidR="005607AB">
        <w:t>equivalent applied dose in vivo.</w:t>
      </w:r>
      <w:r w:rsidR="00110767">
        <w:t xml:space="preserve"> PLETHEM consists of a standard parameter set for human physiology.</w:t>
      </w:r>
      <w:r w:rsidR="006A4EE8">
        <w:t xml:space="preserve"> However, it does not contain information on </w:t>
      </w:r>
      <w:r w:rsidR="00F71718">
        <w:t xml:space="preserve">the </w:t>
      </w:r>
      <w:r w:rsidR="006A4EE8">
        <w:t>physical chemical properties of Coumarin. We have created a user database (</w:t>
      </w:r>
      <w:hyperlink r:id="rId15" w:history="1">
        <w:r w:rsidR="006A4EE8" w:rsidRPr="000832F5">
          <w:rPr>
            <w:rStyle w:val="Hyperlink"/>
          </w:rPr>
          <w:t>link</w:t>
        </w:r>
      </w:hyperlink>
      <w:r w:rsidR="006A4EE8">
        <w:t xml:space="preserve">) called </w:t>
      </w:r>
      <w:proofErr w:type="spellStart"/>
      <w:r w:rsidR="006A4EE8">
        <w:t>WorkshopDb.sqlite</w:t>
      </w:r>
      <w:proofErr w:type="spellEnd"/>
      <w:r w:rsidR="006A4EE8">
        <w:t xml:space="preserve"> </w:t>
      </w:r>
      <w:r w:rsidR="00F71718">
        <w:t xml:space="preserve">that </w:t>
      </w:r>
      <w:r w:rsidR="00044E58">
        <w:t xml:space="preserve">contains this information. Please download the file from the link and save it </w:t>
      </w:r>
      <w:r w:rsidR="00F71718">
        <w:t xml:space="preserve">to </w:t>
      </w:r>
      <w:r w:rsidR="00044E58">
        <w:t>your computer before continuing with the tutorial.</w:t>
      </w:r>
    </w:p>
    <w:p w14:paraId="3C55A31D" w14:textId="7B860086" w:rsidR="00A95167" w:rsidRPr="00612322" w:rsidRDefault="00110767" w:rsidP="00D344FC">
      <w:pPr>
        <w:jc w:val="both"/>
      </w:pPr>
      <w:r>
        <w:t xml:space="preserve">In addition, we will use clearance data from </w:t>
      </w:r>
      <w:r w:rsidR="00664643">
        <w:t xml:space="preserve">the </w:t>
      </w:r>
      <w:r>
        <w:t>literature</w:t>
      </w:r>
      <w:r w:rsidR="005607AB">
        <w:t xml:space="preserve"> </w:t>
      </w:r>
      <w:r>
        <w:t xml:space="preserve">and in vitro POD from ToxCast to obtain an equivalent exposure </w:t>
      </w:r>
      <w:r w:rsidR="00CA3DA2">
        <w:t>in vivo. We will then compare this to expected environmental exposure generated by SEEM3 to obtain a margin of exposure</w:t>
      </w:r>
      <w:r w:rsidR="00630081">
        <w:t>.</w:t>
      </w:r>
    </w:p>
    <w:p w14:paraId="787363B8" w14:textId="7C6DE0BB" w:rsidR="0031525E" w:rsidRDefault="00784987" w:rsidP="00A3341C">
      <w:pPr>
        <w:pStyle w:val="Heading1"/>
        <w:numPr>
          <w:ilvl w:val="0"/>
          <w:numId w:val="21"/>
        </w:numPr>
        <w:ind w:left="360"/>
        <w:jc w:val="both"/>
      </w:pPr>
      <w:r>
        <w:t>Performing the case study</w:t>
      </w:r>
    </w:p>
    <w:p w14:paraId="058436DE" w14:textId="77777777" w:rsidR="00723B20" w:rsidRPr="00BA6B47" w:rsidRDefault="00723B20" w:rsidP="002B7F2A">
      <w:pPr>
        <w:ind w:left="360"/>
      </w:pPr>
      <w:r w:rsidRPr="00723B20">
        <w:rPr>
          <w:b/>
          <w:bCs/>
        </w:rPr>
        <w:t>NOTE</w:t>
      </w:r>
      <w:r>
        <w:t xml:space="preserve">: Some system configurations lead the file location browser dialog boxes to open behind the PLETHEM browser window. If you do not see the “Select Folder”, “Save As”, or “Open” dialogs, and the </w:t>
      </w:r>
      <w:proofErr w:type="spellStart"/>
      <w:r>
        <w:t>RShiny</w:t>
      </w:r>
      <w:proofErr w:type="spellEnd"/>
      <w:r>
        <w:t xml:space="preserve"> dock icon is bouncing when you mouse-over it in OSX, or the Browse For Folder icon appears on the Windows taskbar, the dialog may have opened behind the browser window. Clicking the </w:t>
      </w:r>
      <w:proofErr w:type="spellStart"/>
      <w:r>
        <w:t>RShiny</w:t>
      </w:r>
      <w:proofErr w:type="spellEnd"/>
      <w:r>
        <w:t xml:space="preserve"> dock Browse for Folder icon or moving the PLETHEM browser window out of the way will reveal the dialog box.</w:t>
      </w:r>
    </w:p>
    <w:p w14:paraId="5C38AE51" w14:textId="77777777" w:rsidR="00723B20" w:rsidRPr="00723B20" w:rsidRDefault="00723B20" w:rsidP="00723B20"/>
    <w:p w14:paraId="11D85E3C" w14:textId="7E19C281" w:rsidR="00E42F17" w:rsidRDefault="00854FE2" w:rsidP="009F724B">
      <w:pPr>
        <w:pStyle w:val="Heading2"/>
        <w:numPr>
          <w:ilvl w:val="1"/>
          <w:numId w:val="21"/>
        </w:numPr>
        <w:ind w:left="360" w:firstLine="0"/>
      </w:pPr>
      <w:r>
        <w:lastRenderedPageBreak/>
        <w:t xml:space="preserve">      </w:t>
      </w:r>
      <w:r w:rsidR="00784987">
        <w:t xml:space="preserve">Start a new </w:t>
      </w:r>
      <w:r w:rsidR="003D2650">
        <w:t>HT-IVIVE interface</w:t>
      </w:r>
    </w:p>
    <w:p w14:paraId="5B5DD88D" w14:textId="4D75B9AC" w:rsidR="00313CA2" w:rsidRDefault="00B61B0D" w:rsidP="00A3341C">
      <w:pPr>
        <w:pStyle w:val="ListParagraph"/>
        <w:numPr>
          <w:ilvl w:val="0"/>
          <w:numId w:val="20"/>
        </w:numPr>
        <w:jc w:val="both"/>
      </w:pPr>
      <w:r>
        <w:t>Load the PLETHEM package using “library (plethem)”</w:t>
      </w:r>
    </w:p>
    <w:p w14:paraId="37281CC7" w14:textId="46F728FE" w:rsidR="004106CE" w:rsidRDefault="003D6748" w:rsidP="00A3341C">
      <w:pPr>
        <w:pStyle w:val="ListParagraph"/>
        <w:numPr>
          <w:ilvl w:val="0"/>
          <w:numId w:val="20"/>
        </w:numPr>
        <w:jc w:val="both"/>
      </w:pPr>
      <w:r>
        <w:t xml:space="preserve">Start a new </w:t>
      </w:r>
      <w:r w:rsidR="003D2650">
        <w:t xml:space="preserve">HT-IVIVE </w:t>
      </w:r>
      <w:r>
        <w:t xml:space="preserve">project </w:t>
      </w:r>
      <w:r w:rsidR="005958CA">
        <w:t xml:space="preserve">by </w:t>
      </w:r>
      <w:proofErr w:type="spellStart"/>
      <w:proofErr w:type="gramStart"/>
      <w:r w:rsidR="00B61B0D">
        <w:t>interactiveHT</w:t>
      </w:r>
      <w:proofErr w:type="spellEnd"/>
      <w:r w:rsidR="004D2AEB">
        <w:t>(</w:t>
      </w:r>
      <w:proofErr w:type="gramEnd"/>
      <w:r w:rsidR="004D2AEB">
        <w:t>)</w:t>
      </w:r>
      <w:r w:rsidR="005958CA">
        <w:t xml:space="preserve"> </w:t>
      </w:r>
      <w:r w:rsidR="004106CE">
        <w:t>on the R console</w:t>
      </w:r>
    </w:p>
    <w:p w14:paraId="75F7AD90" w14:textId="6BA75209" w:rsidR="00DF3263" w:rsidRDefault="00DF3263" w:rsidP="00A3341C">
      <w:pPr>
        <w:pStyle w:val="ListParagraph"/>
        <w:numPr>
          <w:ilvl w:val="0"/>
          <w:numId w:val="20"/>
        </w:numPr>
        <w:jc w:val="both"/>
      </w:pPr>
      <w:r>
        <w:t xml:space="preserve">This launches the </w:t>
      </w:r>
      <w:r w:rsidR="004D2AEB">
        <w:t xml:space="preserve">HT-IVIVE </w:t>
      </w:r>
      <w:r w:rsidR="000B5743">
        <w:t>user interface</w:t>
      </w:r>
      <w:r>
        <w:t xml:space="preserve"> in the default browser</w:t>
      </w:r>
    </w:p>
    <w:p w14:paraId="1DDE560B" w14:textId="3678FF08" w:rsidR="00C70555" w:rsidRDefault="00AB0892" w:rsidP="00AB0892">
      <w:pPr>
        <w:ind w:left="360"/>
        <w:jc w:val="both"/>
      </w:pPr>
      <w:r>
        <w:rPr>
          <w:noProof/>
        </w:rPr>
        <w:drawing>
          <wp:inline distT="0" distB="0" distL="0" distR="0" wp14:anchorId="5ADCA853" wp14:editId="57B6A9B0">
            <wp:extent cx="5943600" cy="1092171"/>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92171"/>
                    </a:xfrm>
                    <a:prstGeom prst="rect">
                      <a:avLst/>
                    </a:prstGeom>
                    <a:noFill/>
                    <a:ln>
                      <a:noFill/>
                    </a:ln>
                  </pic:spPr>
                </pic:pic>
              </a:graphicData>
            </a:graphic>
          </wp:inline>
        </w:drawing>
      </w:r>
    </w:p>
    <w:p w14:paraId="390A60E9" w14:textId="424BB4F1" w:rsidR="00DF3263" w:rsidRDefault="00854FE2" w:rsidP="009F724B">
      <w:pPr>
        <w:pStyle w:val="Heading2"/>
        <w:numPr>
          <w:ilvl w:val="1"/>
          <w:numId w:val="21"/>
        </w:numPr>
        <w:ind w:hanging="720"/>
      </w:pPr>
      <w:r>
        <w:t xml:space="preserve">     </w:t>
      </w:r>
      <w:r w:rsidR="00A90BDD">
        <w:t>Import chemicals in the project</w:t>
      </w:r>
    </w:p>
    <w:p w14:paraId="3FC1F2D1" w14:textId="5ECF0A2A" w:rsidR="00A90BDD" w:rsidRDefault="00A90BDD" w:rsidP="00AD5B19">
      <w:pPr>
        <w:ind w:left="360"/>
        <w:jc w:val="both"/>
        <w:rPr>
          <w:noProof/>
        </w:rPr>
      </w:pPr>
      <w:r>
        <w:rPr>
          <w:noProof/>
        </w:rPr>
        <w:t>To perform HT-IVIVE, first we must import chemicals via the following steps:</w:t>
      </w:r>
    </w:p>
    <w:p w14:paraId="4E162FC9" w14:textId="761E0EC3" w:rsidR="003D7AF8" w:rsidRPr="003D7AF8" w:rsidRDefault="00370F0D" w:rsidP="003D7AF8">
      <w:pPr>
        <w:pStyle w:val="ListParagraph"/>
        <w:numPr>
          <w:ilvl w:val="0"/>
          <w:numId w:val="16"/>
        </w:numPr>
        <w:jc w:val="both"/>
        <w:rPr>
          <w:noProof/>
        </w:rPr>
      </w:pPr>
      <w:r>
        <w:rPr>
          <w:noProof/>
        </w:rPr>
        <w:t xml:space="preserve">Click the “Import Chemical” in the </w:t>
      </w:r>
      <w:r w:rsidR="00032129">
        <w:rPr>
          <w:noProof/>
        </w:rPr>
        <w:t>UI. This open</w:t>
      </w:r>
      <w:r w:rsidR="00AD5B19">
        <w:rPr>
          <w:noProof/>
        </w:rPr>
        <w:t>s</w:t>
      </w:r>
      <w:r w:rsidR="00032129">
        <w:rPr>
          <w:noProof/>
        </w:rPr>
        <w:t xml:space="preserve"> the chemical import interface</w:t>
      </w:r>
      <w:r w:rsidR="000B5743">
        <w:rPr>
          <w:noProof/>
        </w:rPr>
        <w:t>.</w:t>
      </w:r>
    </w:p>
    <w:p w14:paraId="19CE261A" w14:textId="136BE657" w:rsidR="00DD4A9F" w:rsidRPr="000734D9" w:rsidRDefault="00DD4A9F" w:rsidP="00DD4A9F">
      <w:pPr>
        <w:pStyle w:val="ListParagraph"/>
        <w:numPr>
          <w:ilvl w:val="1"/>
          <w:numId w:val="16"/>
        </w:numPr>
        <w:jc w:val="both"/>
        <w:rPr>
          <w:i/>
        </w:rPr>
      </w:pPr>
      <w:r w:rsidRPr="000734D9">
        <w:rPr>
          <w:i/>
        </w:rPr>
        <w:t xml:space="preserve">Some configurations </w:t>
      </w:r>
      <w:r w:rsidR="00904709" w:rsidRPr="000734D9">
        <w:rPr>
          <w:i/>
        </w:rPr>
        <w:t xml:space="preserve">cause </w:t>
      </w:r>
      <w:r w:rsidR="00892432" w:rsidRPr="000734D9">
        <w:rPr>
          <w:i/>
        </w:rPr>
        <w:t xml:space="preserve">a </w:t>
      </w:r>
      <w:r w:rsidR="00DA0468" w:rsidRPr="000734D9">
        <w:rPr>
          <w:i/>
        </w:rPr>
        <w:t>“Invalid user database selected” message to appear</w:t>
      </w:r>
      <w:r w:rsidR="005C5E71" w:rsidRPr="000734D9">
        <w:rPr>
          <w:i/>
        </w:rPr>
        <w:t xml:space="preserve">. This can be </w:t>
      </w:r>
      <w:r w:rsidR="000734D9" w:rsidRPr="000734D9">
        <w:rPr>
          <w:i/>
          <w:iCs/>
          <w:noProof/>
        </w:rPr>
        <w:t xml:space="preserve">safely </w:t>
      </w:r>
      <w:r w:rsidR="005C5E71" w:rsidRPr="000734D9">
        <w:rPr>
          <w:i/>
        </w:rPr>
        <w:t>ignored</w:t>
      </w:r>
      <w:r w:rsidR="0046045C" w:rsidRPr="000734D9">
        <w:rPr>
          <w:i/>
        </w:rPr>
        <w:t>.</w:t>
      </w:r>
    </w:p>
    <w:p w14:paraId="738F2E82" w14:textId="687F1546" w:rsidR="00032129" w:rsidRDefault="00032129" w:rsidP="00A3341C">
      <w:pPr>
        <w:pStyle w:val="ListParagraph"/>
        <w:numPr>
          <w:ilvl w:val="0"/>
          <w:numId w:val="16"/>
        </w:numPr>
        <w:jc w:val="both"/>
        <w:rPr>
          <w:noProof/>
        </w:rPr>
      </w:pPr>
      <w:r>
        <w:rPr>
          <w:noProof/>
        </w:rPr>
        <w:t xml:space="preserve">Select the </w:t>
      </w:r>
      <w:r w:rsidR="002635A7">
        <w:rPr>
          <w:noProof/>
        </w:rPr>
        <w:t>“</w:t>
      </w:r>
      <w:r w:rsidR="000B5743">
        <w:rPr>
          <w:noProof/>
        </w:rPr>
        <w:t>U</w:t>
      </w:r>
      <w:r>
        <w:rPr>
          <w:noProof/>
        </w:rPr>
        <w:t xml:space="preserve">ser </w:t>
      </w:r>
      <w:r w:rsidR="000B5743">
        <w:rPr>
          <w:noProof/>
        </w:rPr>
        <w:t>D</w:t>
      </w:r>
      <w:r>
        <w:rPr>
          <w:noProof/>
        </w:rPr>
        <w:t>atabase</w:t>
      </w:r>
      <w:r w:rsidR="002635A7">
        <w:rPr>
          <w:noProof/>
        </w:rPr>
        <w:t>”</w:t>
      </w:r>
      <w:r>
        <w:rPr>
          <w:noProof/>
        </w:rPr>
        <w:t xml:space="preserve"> tab</w:t>
      </w:r>
      <w:r w:rsidR="000B5743">
        <w:rPr>
          <w:noProof/>
        </w:rPr>
        <w:t>.</w:t>
      </w:r>
    </w:p>
    <w:p w14:paraId="2B912DC1" w14:textId="2FC83B90" w:rsidR="00E94742" w:rsidRDefault="00E94742" w:rsidP="00A3341C">
      <w:pPr>
        <w:pStyle w:val="ListParagraph"/>
        <w:numPr>
          <w:ilvl w:val="0"/>
          <w:numId w:val="16"/>
        </w:numPr>
        <w:jc w:val="both"/>
        <w:rPr>
          <w:noProof/>
        </w:rPr>
      </w:pPr>
      <w:r w:rsidRPr="778D5D1C">
        <w:rPr>
          <w:noProof/>
        </w:rPr>
        <w:t xml:space="preserve">Download the user database “WorkshopDb.sqlite” from </w:t>
      </w:r>
      <w:r w:rsidR="007951F0" w:rsidRPr="778D5D1C">
        <w:rPr>
          <w:noProof/>
        </w:rPr>
        <w:t xml:space="preserve">this </w:t>
      </w:r>
      <w:hyperlink r:id="rId17">
        <w:r w:rsidR="00BA2BE4">
          <w:rPr>
            <w:rStyle w:val="Hyperlink"/>
            <w:noProof/>
          </w:rPr>
          <w:t>link</w:t>
        </w:r>
      </w:hyperlink>
      <w:r w:rsidR="000A4D83" w:rsidRPr="778D5D1C">
        <w:rPr>
          <w:noProof/>
        </w:rPr>
        <w:t xml:space="preserve"> and save it </w:t>
      </w:r>
      <w:r w:rsidR="00AD5B19" w:rsidRPr="778D5D1C">
        <w:rPr>
          <w:noProof/>
        </w:rPr>
        <w:t>t</w:t>
      </w:r>
      <w:r w:rsidR="000A4D83" w:rsidRPr="778D5D1C">
        <w:rPr>
          <w:noProof/>
        </w:rPr>
        <w:t xml:space="preserve">o your </w:t>
      </w:r>
      <w:r w:rsidR="00AD5B19" w:rsidRPr="778D5D1C">
        <w:rPr>
          <w:noProof/>
        </w:rPr>
        <w:t>computer</w:t>
      </w:r>
      <w:r w:rsidR="000A4D83" w:rsidRPr="778D5D1C">
        <w:rPr>
          <w:noProof/>
        </w:rPr>
        <w:t>.</w:t>
      </w:r>
    </w:p>
    <w:p w14:paraId="667D2756" w14:textId="12826E15" w:rsidR="00B65981" w:rsidRDefault="00B65981" w:rsidP="00A3341C">
      <w:pPr>
        <w:pStyle w:val="ListParagraph"/>
        <w:numPr>
          <w:ilvl w:val="0"/>
          <w:numId w:val="16"/>
        </w:numPr>
        <w:jc w:val="both"/>
        <w:rPr>
          <w:noProof/>
        </w:rPr>
      </w:pPr>
      <w:r>
        <w:rPr>
          <w:noProof/>
        </w:rPr>
        <w:t xml:space="preserve">Click the </w:t>
      </w:r>
      <w:r w:rsidR="009B7278">
        <w:rPr>
          <w:noProof/>
        </w:rPr>
        <w:t>“</w:t>
      </w:r>
      <w:r>
        <w:rPr>
          <w:noProof/>
        </w:rPr>
        <w:t>Select User Database</w:t>
      </w:r>
      <w:r w:rsidR="009B7278">
        <w:rPr>
          <w:noProof/>
        </w:rPr>
        <w:t>”</w:t>
      </w:r>
      <w:r>
        <w:rPr>
          <w:noProof/>
        </w:rPr>
        <w:t xml:space="preserve"> button</w:t>
      </w:r>
      <w:r w:rsidR="00CA7517">
        <w:rPr>
          <w:noProof/>
        </w:rPr>
        <w:t>,</w:t>
      </w:r>
      <w:r>
        <w:rPr>
          <w:noProof/>
        </w:rPr>
        <w:t xml:space="preserve"> navigate to the </w:t>
      </w:r>
      <w:r w:rsidR="00CA7517">
        <w:rPr>
          <w:noProof/>
        </w:rPr>
        <w:t>“</w:t>
      </w:r>
      <w:r>
        <w:rPr>
          <w:noProof/>
        </w:rPr>
        <w:t>WorkshopDb.sqlite</w:t>
      </w:r>
      <w:r w:rsidR="00CA7517">
        <w:rPr>
          <w:noProof/>
        </w:rPr>
        <w:t>”</w:t>
      </w:r>
      <w:r>
        <w:rPr>
          <w:noProof/>
        </w:rPr>
        <w:t xml:space="preserve"> file</w:t>
      </w:r>
      <w:r w:rsidR="00CA7517">
        <w:rPr>
          <w:noProof/>
        </w:rPr>
        <w:t xml:space="preserve"> and select it</w:t>
      </w:r>
      <w:r w:rsidR="000B5743">
        <w:rPr>
          <w:noProof/>
        </w:rPr>
        <w:t>.</w:t>
      </w:r>
    </w:p>
    <w:p w14:paraId="093C6DAE" w14:textId="2CE35CBB" w:rsidR="00CA7517" w:rsidRDefault="00CA7517" w:rsidP="00A3341C">
      <w:pPr>
        <w:pStyle w:val="ListParagraph"/>
        <w:numPr>
          <w:ilvl w:val="0"/>
          <w:numId w:val="16"/>
        </w:numPr>
        <w:jc w:val="both"/>
        <w:rPr>
          <w:noProof/>
        </w:rPr>
      </w:pPr>
      <w:r>
        <w:rPr>
          <w:noProof/>
        </w:rPr>
        <w:t xml:space="preserve">Select </w:t>
      </w:r>
      <w:r w:rsidR="008872BE">
        <w:rPr>
          <w:noProof/>
        </w:rPr>
        <w:t>“Co</w:t>
      </w:r>
      <w:r w:rsidR="003A1102">
        <w:rPr>
          <w:noProof/>
        </w:rPr>
        <w:t xml:space="preserve">umarin” from the </w:t>
      </w:r>
      <w:r w:rsidR="000B5743">
        <w:rPr>
          <w:noProof/>
        </w:rPr>
        <w:t>“</w:t>
      </w:r>
      <w:r w:rsidR="003A1102">
        <w:rPr>
          <w:noProof/>
        </w:rPr>
        <w:t>Select Chemical</w:t>
      </w:r>
      <w:r w:rsidR="000B5743">
        <w:rPr>
          <w:noProof/>
        </w:rPr>
        <w:t>”</w:t>
      </w:r>
      <w:r w:rsidR="003A1102">
        <w:rPr>
          <w:noProof/>
        </w:rPr>
        <w:t xml:space="preserve"> drop</w:t>
      </w:r>
      <w:r w:rsidR="000B5743">
        <w:rPr>
          <w:noProof/>
        </w:rPr>
        <w:t>-</w:t>
      </w:r>
      <w:r w:rsidR="003A1102">
        <w:rPr>
          <w:noProof/>
        </w:rPr>
        <w:t>down</w:t>
      </w:r>
      <w:r w:rsidR="000B5743">
        <w:rPr>
          <w:noProof/>
        </w:rPr>
        <w:t>.</w:t>
      </w:r>
    </w:p>
    <w:p w14:paraId="296936CB" w14:textId="05B9A6A2" w:rsidR="00787455" w:rsidRDefault="00787455" w:rsidP="00787455">
      <w:pPr>
        <w:pStyle w:val="ListParagraph"/>
        <w:numPr>
          <w:ilvl w:val="1"/>
          <w:numId w:val="16"/>
        </w:numPr>
        <w:jc w:val="both"/>
        <w:rPr>
          <w:noProof/>
        </w:rPr>
      </w:pPr>
      <w:r>
        <w:rPr>
          <w:noProof/>
        </w:rPr>
        <w:t>Note that the window to select the database may appear behind your browser window. Just minimize the Rstudio and Browser windows and you should be able to see it.</w:t>
      </w:r>
    </w:p>
    <w:p w14:paraId="2285E35F" w14:textId="32F99F78" w:rsidR="00A3341C" w:rsidRDefault="00A3341C" w:rsidP="00A3341C">
      <w:pPr>
        <w:pStyle w:val="ListParagraph"/>
        <w:numPr>
          <w:ilvl w:val="0"/>
          <w:numId w:val="16"/>
        </w:numPr>
        <w:jc w:val="both"/>
        <w:rPr>
          <w:noProof/>
        </w:rPr>
      </w:pPr>
      <w:r>
        <w:rPr>
          <w:noProof/>
        </w:rPr>
        <w:drawing>
          <wp:anchor distT="0" distB="0" distL="114300" distR="114300" simplePos="0" relativeHeight="251658240" behindDoc="0" locked="0" layoutInCell="1" allowOverlap="1" wp14:anchorId="1E36B269" wp14:editId="38D93C2F">
            <wp:simplePos x="0" y="0"/>
            <wp:positionH relativeFrom="margin">
              <wp:posOffset>792480</wp:posOffset>
            </wp:positionH>
            <wp:positionV relativeFrom="paragraph">
              <wp:posOffset>243840</wp:posOffset>
            </wp:positionV>
            <wp:extent cx="4110355" cy="233172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355"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Click the </w:t>
      </w:r>
      <w:r w:rsidR="000B5743">
        <w:rPr>
          <w:noProof/>
        </w:rPr>
        <w:t>“</w:t>
      </w:r>
      <w:r>
        <w:rPr>
          <w:noProof/>
        </w:rPr>
        <w:t>Import</w:t>
      </w:r>
      <w:r w:rsidR="000B5743">
        <w:rPr>
          <w:noProof/>
        </w:rPr>
        <w:t>”</w:t>
      </w:r>
      <w:r>
        <w:rPr>
          <w:noProof/>
        </w:rPr>
        <w:t xml:space="preserve"> button to import the chemical into the interface</w:t>
      </w:r>
      <w:r w:rsidR="009F724B">
        <w:rPr>
          <w:noProof/>
        </w:rPr>
        <w:t>.</w:t>
      </w:r>
    </w:p>
    <w:p w14:paraId="2EE18EA6" w14:textId="77777777" w:rsidR="000B5743" w:rsidRDefault="007D61FC" w:rsidP="00A3341C">
      <w:pPr>
        <w:jc w:val="both"/>
      </w:pPr>
      <w:r>
        <w:t xml:space="preserve">The selected chemical is now a part of this HT-IVIVE project. We </w:t>
      </w:r>
      <w:r w:rsidR="00E34C8E">
        <w:t xml:space="preserve">will now parameterize the HT-IVIVE model </w:t>
      </w:r>
      <w:r w:rsidR="003927BB">
        <w:t>for Coumarin</w:t>
      </w:r>
      <w:r w:rsidR="002476B7">
        <w:t>.</w:t>
      </w:r>
    </w:p>
    <w:p w14:paraId="3719FD1A" w14:textId="0E33BC15" w:rsidR="0023090A" w:rsidRPr="00ED3DF3" w:rsidRDefault="005967FA" w:rsidP="009F724B">
      <w:pPr>
        <w:pStyle w:val="Heading2"/>
        <w:numPr>
          <w:ilvl w:val="1"/>
          <w:numId w:val="28"/>
        </w:numPr>
        <w:ind w:left="360"/>
      </w:pPr>
      <w:r>
        <w:t>Enter Physiological and Chemical Parameters</w:t>
      </w:r>
    </w:p>
    <w:p w14:paraId="4003F3FC" w14:textId="77777777" w:rsidR="00454342" w:rsidRDefault="002476B7" w:rsidP="00454342">
      <w:pPr>
        <w:pStyle w:val="ListParagraph"/>
        <w:numPr>
          <w:ilvl w:val="0"/>
          <w:numId w:val="22"/>
        </w:numPr>
        <w:jc w:val="both"/>
      </w:pPr>
      <w:r>
        <w:t>To create a new model</w:t>
      </w:r>
      <w:r w:rsidR="00CF753E">
        <w:t>,</w:t>
      </w:r>
      <w:r>
        <w:t xml:space="preserve"> </w:t>
      </w:r>
      <w:r w:rsidR="00FA5959">
        <w:t xml:space="preserve">click the “Add </w:t>
      </w:r>
      <w:r w:rsidR="000B5743">
        <w:t>N</w:t>
      </w:r>
      <w:r w:rsidR="00FA5959">
        <w:t xml:space="preserve">ew </w:t>
      </w:r>
      <w:r w:rsidR="000B5743">
        <w:t>R</w:t>
      </w:r>
      <w:r w:rsidR="00111D00">
        <w:t xml:space="preserve">ow” </w:t>
      </w:r>
      <w:r w:rsidR="00BD4A0D">
        <w:t>button</w:t>
      </w:r>
      <w:r w:rsidR="000B5743">
        <w:t xml:space="preserve"> in the user interface</w:t>
      </w:r>
      <w:r w:rsidR="00BD4A0D">
        <w:t>.</w:t>
      </w:r>
      <w:r w:rsidR="000B5743">
        <w:t xml:space="preserve"> </w:t>
      </w:r>
      <w:r w:rsidR="00BD4A0D">
        <w:t>This launches a new dialog box for parameterizing the HT-IVIVE model</w:t>
      </w:r>
      <w:r w:rsidR="006647B5">
        <w:t>. The dialog</w:t>
      </w:r>
      <w:r w:rsidR="009A3A62">
        <w:t xml:space="preserve"> box</w:t>
      </w:r>
      <w:r w:rsidR="006647B5">
        <w:t xml:space="preserve"> has tabs for the different inputs needed for the HT-IVIVE model. Most value</w:t>
      </w:r>
      <w:r w:rsidR="00EB10B6">
        <w:t>s</w:t>
      </w:r>
      <w:r w:rsidR="006647B5">
        <w:t xml:space="preserve"> are </w:t>
      </w:r>
      <w:proofErr w:type="gramStart"/>
      <w:r w:rsidR="006647B5">
        <w:t>auto</w:t>
      </w:r>
      <w:r w:rsidR="00EB10B6">
        <w:t>-</w:t>
      </w:r>
      <w:r w:rsidR="006647B5">
        <w:t>filled</w:t>
      </w:r>
      <w:proofErr w:type="gramEnd"/>
      <w:r w:rsidR="006647B5">
        <w:t xml:space="preserve"> based on the parameter sets within PLETHEM and the selected chemical.</w:t>
      </w:r>
    </w:p>
    <w:p w14:paraId="6277760A" w14:textId="6E59C0CF" w:rsidR="00D579FC" w:rsidRDefault="007F524C" w:rsidP="00DA61CA">
      <w:pPr>
        <w:pStyle w:val="ListParagraph"/>
        <w:numPr>
          <w:ilvl w:val="1"/>
          <w:numId w:val="22"/>
        </w:numPr>
        <w:ind w:left="1440" w:hanging="360"/>
        <w:jc w:val="both"/>
      </w:pPr>
      <w:r>
        <w:rPr>
          <w:i/>
        </w:rPr>
        <w:t xml:space="preserve">Hovering over some input boxes </w:t>
      </w:r>
      <w:r w:rsidR="00E868FB">
        <w:rPr>
          <w:i/>
        </w:rPr>
        <w:t xml:space="preserve">results in </w:t>
      </w:r>
      <w:r w:rsidR="00C47750">
        <w:rPr>
          <w:i/>
        </w:rPr>
        <w:t xml:space="preserve">the appearance of </w:t>
      </w:r>
      <w:r w:rsidR="00E868FB">
        <w:rPr>
          <w:i/>
        </w:rPr>
        <w:t>a popup text box suggesting valid inputs</w:t>
      </w:r>
      <w:r w:rsidR="00D579FC" w:rsidRPr="00454342">
        <w:rPr>
          <w:i/>
        </w:rPr>
        <w:t>.</w:t>
      </w:r>
      <w:r w:rsidR="00E868FB">
        <w:rPr>
          <w:i/>
        </w:rPr>
        <w:t xml:space="preserve"> These suggestions have not been calibrated </w:t>
      </w:r>
      <w:r w:rsidR="00AD4922">
        <w:rPr>
          <w:i/>
        </w:rPr>
        <w:t>for all inputs and can be ignored</w:t>
      </w:r>
      <w:r w:rsidR="00181D6C">
        <w:rPr>
          <w:i/>
        </w:rPr>
        <w:t xml:space="preserve"> at this time</w:t>
      </w:r>
      <w:r w:rsidR="00AD4922">
        <w:rPr>
          <w:i/>
        </w:rPr>
        <w:t>. Th</w:t>
      </w:r>
      <w:r w:rsidR="00F5126D">
        <w:rPr>
          <w:i/>
        </w:rPr>
        <w:t>is</w:t>
      </w:r>
      <w:r w:rsidR="00AD4922">
        <w:rPr>
          <w:i/>
        </w:rPr>
        <w:t xml:space="preserve"> will be addressed in upcoming versions</w:t>
      </w:r>
      <w:r w:rsidR="00DA61CA">
        <w:rPr>
          <w:i/>
        </w:rPr>
        <w:t xml:space="preserve"> of the tool.</w:t>
      </w:r>
    </w:p>
    <w:p w14:paraId="2D9A87F9" w14:textId="70EF7167" w:rsidR="00AE0CFC" w:rsidRDefault="000B5743" w:rsidP="00936084">
      <w:pPr>
        <w:pStyle w:val="ListParagraph"/>
        <w:numPr>
          <w:ilvl w:val="0"/>
          <w:numId w:val="22"/>
        </w:numPr>
        <w:jc w:val="both"/>
      </w:pPr>
      <w:r>
        <w:lastRenderedPageBreak/>
        <w:t>Navigate to the “Physiological and Chemical Parameters” tab</w:t>
      </w:r>
      <w:r w:rsidR="004429B5">
        <w:t xml:space="preserve"> in the dialog window</w:t>
      </w:r>
      <w:r>
        <w:t>.</w:t>
      </w:r>
    </w:p>
    <w:p w14:paraId="0A5CE7A9" w14:textId="67591E5C" w:rsidR="00811CD3" w:rsidRDefault="00811CD3" w:rsidP="00AE0CFC">
      <w:pPr>
        <w:pStyle w:val="ListParagraph"/>
        <w:numPr>
          <w:ilvl w:val="0"/>
          <w:numId w:val="22"/>
        </w:numPr>
        <w:jc w:val="both"/>
      </w:pPr>
      <w:r>
        <w:t xml:space="preserve">Enter </w:t>
      </w:r>
      <w:r w:rsidR="00FD2B98">
        <w:t xml:space="preserve">0.15 as </w:t>
      </w:r>
      <w:r>
        <w:t xml:space="preserve">the value for </w:t>
      </w:r>
      <w:r w:rsidR="00AF1470">
        <w:t>“</w:t>
      </w:r>
      <w:r>
        <w:t>Fraction Unbound in Plasma</w:t>
      </w:r>
      <w:r w:rsidR="00AF1470">
        <w:t>”</w:t>
      </w:r>
      <w:r w:rsidR="00F240FF">
        <w:t>.</w:t>
      </w:r>
    </w:p>
    <w:p w14:paraId="487BCD30" w14:textId="58E4E29C" w:rsidR="00AE0CFC" w:rsidRDefault="00AE0CFC" w:rsidP="00AE0CFC">
      <w:pPr>
        <w:pStyle w:val="ListParagraph"/>
        <w:numPr>
          <w:ilvl w:val="0"/>
          <w:numId w:val="22"/>
        </w:numPr>
        <w:jc w:val="both"/>
      </w:pPr>
      <w:r>
        <w:t>Enter the exposure estimate for this chemical in the “</w:t>
      </w:r>
      <w:r w:rsidR="00CB7019">
        <w:t>Envi</w:t>
      </w:r>
      <w:r w:rsidR="004606FD">
        <w:t xml:space="preserve">ronmental </w:t>
      </w:r>
      <w:r>
        <w:t xml:space="preserve">Exposure </w:t>
      </w:r>
      <w:r w:rsidR="004606FD">
        <w:t>(</w:t>
      </w:r>
      <w:r>
        <w:t>mg/kg/day</w:t>
      </w:r>
      <w:r w:rsidR="004606FD">
        <w:t>)</w:t>
      </w:r>
      <w:r>
        <w:t>” box. We will enter the upper 95</w:t>
      </w:r>
      <w:r w:rsidRPr="00AE0CFC">
        <w:rPr>
          <w:vertAlign w:val="superscript"/>
        </w:rPr>
        <w:t>th</w:t>
      </w:r>
      <w:r>
        <w:t xml:space="preserve"> percentile </w:t>
      </w:r>
      <w:r w:rsidR="009F724B">
        <w:t>C</w:t>
      </w:r>
      <w:r>
        <w:t>oumarin</w:t>
      </w:r>
      <w:r w:rsidR="00C91055">
        <w:t xml:space="preserve"> </w:t>
      </w:r>
      <w:r>
        <w:t>exposure estimate from SEEM3</w:t>
      </w:r>
      <w:r w:rsidR="001B4D02">
        <w:t>:</w:t>
      </w:r>
      <w:r>
        <w:t xml:space="preserve"> 0.000435 mg/kg/day.</w:t>
      </w:r>
    </w:p>
    <w:p w14:paraId="7332294E" w14:textId="2C2A5C4D" w:rsidR="00F240FF" w:rsidRDefault="00F240FF" w:rsidP="778D5D1C">
      <w:pPr>
        <w:pStyle w:val="ListParagraph"/>
        <w:numPr>
          <w:ilvl w:val="0"/>
          <w:numId w:val="22"/>
        </w:numPr>
        <w:jc w:val="both"/>
        <w:rPr>
          <w:rFonts w:eastAsiaTheme="minorEastAsia"/>
        </w:rPr>
      </w:pPr>
      <w:r>
        <w:t xml:space="preserve">Finally give this estimate a name – “Coumarin </w:t>
      </w:r>
      <w:r w:rsidR="001A78C0">
        <w:t>MOE for SEEM and ToxCast”</w:t>
      </w:r>
    </w:p>
    <w:p w14:paraId="7F20730C" w14:textId="09CB0406" w:rsidR="00570409" w:rsidRDefault="000C73D6" w:rsidP="00936084">
      <w:pPr>
        <w:pStyle w:val="ListParagraph"/>
        <w:jc w:val="both"/>
      </w:pPr>
      <w:r>
        <w:rPr>
          <w:noProof/>
        </w:rPr>
        <w:drawing>
          <wp:inline distT="0" distB="0" distL="0" distR="0" wp14:anchorId="4DC3D709" wp14:editId="7B335522">
            <wp:extent cx="5715000" cy="3095625"/>
            <wp:effectExtent l="0" t="0" r="0" b="0"/>
            <wp:docPr id="209641360" name="Picture 2096413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1360" name="Picture 209641360"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000" cy="3095625"/>
                    </a:xfrm>
                    <a:prstGeom prst="rect">
                      <a:avLst/>
                    </a:prstGeom>
                  </pic:spPr>
                </pic:pic>
              </a:graphicData>
            </a:graphic>
          </wp:inline>
        </w:drawing>
      </w:r>
    </w:p>
    <w:p w14:paraId="5788A65A" w14:textId="249FF5B8" w:rsidR="00727654" w:rsidRDefault="00570409" w:rsidP="00936084">
      <w:pPr>
        <w:pStyle w:val="Heading2"/>
      </w:pPr>
      <w:r>
        <w:t xml:space="preserve">Enter the </w:t>
      </w:r>
      <w:r w:rsidRPr="008D0D68">
        <w:t>in vitro</w:t>
      </w:r>
      <w:r>
        <w:rPr>
          <w:i/>
          <w:iCs/>
        </w:rPr>
        <w:t xml:space="preserve"> </w:t>
      </w:r>
      <w:r>
        <w:t>point of departure</w:t>
      </w:r>
    </w:p>
    <w:p w14:paraId="0F60ABA0" w14:textId="62540CF4" w:rsidR="000B5743" w:rsidRDefault="00AE0CFC" w:rsidP="004429B5">
      <w:pPr>
        <w:pStyle w:val="ListParagraph"/>
        <w:jc w:val="both"/>
      </w:pPr>
      <w:r>
        <w:t xml:space="preserve">Next, we enter the </w:t>
      </w:r>
      <w:r w:rsidRPr="008D0D68">
        <w:rPr>
          <w:iCs/>
        </w:rPr>
        <w:t>in vitro</w:t>
      </w:r>
      <w:r>
        <w:t xml:space="preserve"> point of departure for </w:t>
      </w:r>
      <w:r w:rsidR="009F724B">
        <w:t>C</w:t>
      </w:r>
      <w:r>
        <w:t>oumarin. In this case study</w:t>
      </w:r>
      <w:r w:rsidR="009F724B">
        <w:t>,</w:t>
      </w:r>
      <w:r>
        <w:t xml:space="preserve"> we will enter the 5</w:t>
      </w:r>
      <w:r w:rsidRPr="006B3570">
        <w:rPr>
          <w:vertAlign w:val="superscript"/>
        </w:rPr>
        <w:t>th</w:t>
      </w:r>
      <w:r>
        <w:t xml:space="preserve"> percentile </w:t>
      </w:r>
      <w:r w:rsidRPr="008D0D68">
        <w:rPr>
          <w:iCs/>
        </w:rPr>
        <w:t>in vitro</w:t>
      </w:r>
      <w:r>
        <w:t xml:space="preserve"> POD value for all </w:t>
      </w:r>
      <w:r w:rsidR="009F724B">
        <w:t>C</w:t>
      </w:r>
      <w:r>
        <w:t xml:space="preserve">oumarin assays in </w:t>
      </w:r>
      <w:proofErr w:type="gramStart"/>
      <w:r>
        <w:t>ToxCast</w:t>
      </w:r>
      <w:r w:rsidR="009F724B">
        <w:t xml:space="preserve"> </w:t>
      </w:r>
      <w:r>
        <w:t xml:space="preserve"> </w:t>
      </w:r>
      <w:r w:rsidR="00EC22D5">
        <w:t>(</w:t>
      </w:r>
      <w:proofErr w:type="gramEnd"/>
      <w:r>
        <w:t xml:space="preserve">13.9 </w:t>
      </w:r>
      <w:r>
        <w:rPr>
          <w:rFonts w:cstheme="minorHAnsi"/>
        </w:rPr>
        <w:t>µ</w:t>
      </w:r>
      <w:r>
        <w:t>M</w:t>
      </w:r>
      <w:r w:rsidR="00EC22D5">
        <w:t>)</w:t>
      </w:r>
      <w:r>
        <w:t>.</w:t>
      </w:r>
      <w:r w:rsidR="004429B5">
        <w:t xml:space="preserve"> </w:t>
      </w:r>
    </w:p>
    <w:p w14:paraId="617ECC19" w14:textId="7DD408F2" w:rsidR="004429B5" w:rsidRDefault="009D5E19" w:rsidP="00936084">
      <w:pPr>
        <w:pStyle w:val="ListParagraph"/>
        <w:numPr>
          <w:ilvl w:val="0"/>
          <w:numId w:val="25"/>
        </w:numPr>
        <w:jc w:val="both"/>
      </w:pPr>
      <w:r>
        <w:rPr>
          <w:noProof/>
        </w:rPr>
        <w:drawing>
          <wp:anchor distT="0" distB="0" distL="114300" distR="114300" simplePos="0" relativeHeight="251658241" behindDoc="0" locked="0" layoutInCell="1" allowOverlap="1" wp14:anchorId="671FD0E7" wp14:editId="246969DF">
            <wp:simplePos x="0" y="0"/>
            <wp:positionH relativeFrom="margin">
              <wp:align>right</wp:align>
            </wp:positionH>
            <wp:positionV relativeFrom="paragraph">
              <wp:posOffset>394970</wp:posOffset>
            </wp:positionV>
            <wp:extent cx="5943600" cy="19399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600" cy="1939925"/>
                    </a:xfrm>
                    <a:prstGeom prst="rect">
                      <a:avLst/>
                    </a:prstGeom>
                    <a:noFill/>
                    <a:ln>
                      <a:noFill/>
                    </a:ln>
                  </pic:spPr>
                </pic:pic>
              </a:graphicData>
            </a:graphic>
            <wp14:sizeRelV relativeFrom="margin">
              <wp14:pctHeight>0</wp14:pctHeight>
            </wp14:sizeRelV>
          </wp:anchor>
        </w:drawing>
      </w:r>
      <w:r w:rsidR="004429B5">
        <w:t>Navigate to the “Invitro POD” tab in the dialog window and enter “13.9” in the “In</w:t>
      </w:r>
      <w:r w:rsidR="009F724B">
        <w:t>v</w:t>
      </w:r>
      <w:r w:rsidR="004429B5">
        <w:t>itro POD” box. Make sure the appropriate unit</w:t>
      </w:r>
      <w:r w:rsidR="00B41055">
        <w:t xml:space="preserve"> is </w:t>
      </w:r>
      <w:r w:rsidR="004429B5">
        <w:t>selected from the “Unit” drop-down menu, “µM</w:t>
      </w:r>
      <w:r w:rsidR="009F724B">
        <w:t>.</w:t>
      </w:r>
      <w:r w:rsidR="004429B5">
        <w:t>”</w:t>
      </w:r>
    </w:p>
    <w:p w14:paraId="67025251" w14:textId="7809273A" w:rsidR="009C1A16" w:rsidRDefault="009D5E19" w:rsidP="00936084">
      <w:pPr>
        <w:pStyle w:val="Heading2"/>
      </w:pPr>
      <w:r>
        <w:lastRenderedPageBreak/>
        <w:t>Select HT-IVIVE Type</w:t>
      </w:r>
    </w:p>
    <w:p w14:paraId="1B9F9CA5" w14:textId="4A681C3B" w:rsidR="00C90B59" w:rsidRDefault="009D5E19" w:rsidP="00936084">
      <w:pPr>
        <w:pStyle w:val="ListParagraph"/>
        <w:numPr>
          <w:ilvl w:val="0"/>
          <w:numId w:val="26"/>
        </w:numPr>
        <w:jc w:val="both"/>
      </w:pPr>
      <w:r>
        <w:rPr>
          <w:noProof/>
        </w:rPr>
        <w:drawing>
          <wp:anchor distT="0" distB="0" distL="114300" distR="114300" simplePos="0" relativeHeight="251658242" behindDoc="0" locked="0" layoutInCell="1" allowOverlap="1" wp14:anchorId="22E6E7CE" wp14:editId="7CC9D9CD">
            <wp:simplePos x="0" y="0"/>
            <wp:positionH relativeFrom="margin">
              <wp:posOffset>-34290</wp:posOffset>
            </wp:positionH>
            <wp:positionV relativeFrom="paragraph">
              <wp:posOffset>463550</wp:posOffset>
            </wp:positionV>
            <wp:extent cx="6120130" cy="19145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9B5">
        <w:t xml:space="preserve">Navigate to the “HT-IVIVE Type” tab in dialog window and select “Oral Exposure </w:t>
      </w:r>
      <w:proofErr w:type="gramStart"/>
      <w:r w:rsidR="004429B5">
        <w:t>Non Volatile</w:t>
      </w:r>
      <w:proofErr w:type="gramEnd"/>
      <w:r w:rsidR="004429B5">
        <w:t xml:space="preserve"> Chemical” using the radio button as the “HT-IVIVE Type</w:t>
      </w:r>
      <w:r w:rsidR="00B41055">
        <w:t>.</w:t>
      </w:r>
      <w:r w:rsidR="004429B5">
        <w:t>”</w:t>
      </w:r>
    </w:p>
    <w:p w14:paraId="60802911" w14:textId="77777777" w:rsidR="009D5E19" w:rsidRDefault="009D5E19" w:rsidP="00C90B59">
      <w:pPr>
        <w:pStyle w:val="ListParagraph"/>
        <w:jc w:val="both"/>
      </w:pPr>
    </w:p>
    <w:p w14:paraId="04C34421" w14:textId="2D2F10F3" w:rsidR="009D5E19" w:rsidRDefault="009D5E19" w:rsidP="00936084">
      <w:pPr>
        <w:pStyle w:val="Heading2"/>
      </w:pPr>
      <w:r>
        <w:t>Parameterize Clearance Models</w:t>
      </w:r>
    </w:p>
    <w:p w14:paraId="44AAD9E8" w14:textId="6DD266C5" w:rsidR="007A1CD6" w:rsidRDefault="00D65812" w:rsidP="00C90B59">
      <w:pPr>
        <w:pStyle w:val="ListParagraph"/>
        <w:jc w:val="both"/>
      </w:pPr>
      <w:r>
        <w:t xml:space="preserve">For metabolism, </w:t>
      </w:r>
      <w:r w:rsidR="00FB5C37">
        <w:t xml:space="preserve">the model includes options for clearance in the liver, urine, and blood. For </w:t>
      </w:r>
      <w:r w:rsidR="00AA4BD9">
        <w:t>c</w:t>
      </w:r>
      <w:r w:rsidR="00FB5C37">
        <w:t xml:space="preserve">oumarin, </w:t>
      </w:r>
      <w:r>
        <w:t>we will use the in</w:t>
      </w:r>
      <w:r w:rsidR="00761CB7">
        <w:t xml:space="preserve"> </w:t>
      </w:r>
      <w:r>
        <w:t xml:space="preserve">vitro </w:t>
      </w:r>
      <w:r w:rsidR="00197C52">
        <w:t xml:space="preserve">liver microsomal clearance </w:t>
      </w:r>
      <w:r>
        <w:t xml:space="preserve">value of </w:t>
      </w:r>
      <w:r w:rsidR="006B0672">
        <w:t xml:space="preserve">9.49e-5 </w:t>
      </w:r>
      <w:r w:rsidR="00EF6DBD" w:rsidRPr="00C90B59">
        <w:rPr>
          <w:rFonts w:cstheme="minorHAnsi"/>
        </w:rPr>
        <w:t>µ</w:t>
      </w:r>
      <w:r w:rsidR="00EF6DBD">
        <w:t xml:space="preserve">mol/min/mg </w:t>
      </w:r>
      <w:r w:rsidR="007273B2">
        <w:t>m</w:t>
      </w:r>
      <w:r w:rsidR="00EF6DBD">
        <w:t xml:space="preserve">icrosomal protein </w:t>
      </w:r>
      <w:r w:rsidR="00575183">
        <w:t xml:space="preserve">from </w:t>
      </w:r>
      <w:r w:rsidR="00451B49">
        <w:t>Draper et al</w:t>
      </w:r>
      <w:r w:rsidR="006E7C38">
        <w:t>.</w:t>
      </w:r>
      <w:r w:rsidR="00451B49">
        <w:t xml:space="preserve"> 199</w:t>
      </w:r>
      <w:r w:rsidR="00043287">
        <w:t xml:space="preserve">7. We will also include </w:t>
      </w:r>
      <w:r w:rsidR="00197C52">
        <w:t>r</w:t>
      </w:r>
      <w:r w:rsidR="00043287">
        <w:t>enal</w:t>
      </w:r>
      <w:r w:rsidR="00447663">
        <w:t xml:space="preserve"> </w:t>
      </w:r>
      <w:r w:rsidR="00197C52">
        <w:t>clearance</w:t>
      </w:r>
      <w:r w:rsidR="00447663">
        <w:t xml:space="preserve"> in this case study. We will assume that </w:t>
      </w:r>
      <w:r w:rsidR="003854FD">
        <w:t>c</w:t>
      </w:r>
      <w:r w:rsidR="00A92C21">
        <w:t>oumarin is not metabolized in the plasma</w:t>
      </w:r>
      <w:r w:rsidR="00043287">
        <w:t xml:space="preserve">. </w:t>
      </w:r>
    </w:p>
    <w:p w14:paraId="291E12E7" w14:textId="5AA9532F" w:rsidR="00C90B59" w:rsidRDefault="00C90B59" w:rsidP="00936084">
      <w:pPr>
        <w:pStyle w:val="ListParagraph"/>
        <w:numPr>
          <w:ilvl w:val="0"/>
          <w:numId w:val="27"/>
        </w:numPr>
        <w:jc w:val="both"/>
      </w:pPr>
      <w:r>
        <w:t>Navigate to the “Hepatic Clearance” tab</w:t>
      </w:r>
      <w:r w:rsidR="00081A30">
        <w:t>,</w:t>
      </w:r>
      <w:r w:rsidR="00033AB5">
        <w:t xml:space="preserve"> select “Subcellular Clearance” </w:t>
      </w:r>
      <w:r>
        <w:t>in the dialog window</w:t>
      </w:r>
      <w:r w:rsidR="00081A30">
        <w:t>,</w:t>
      </w:r>
      <w:r>
        <w:t xml:space="preserve"> and enter “0.0000949” in the “Measured Microsomal Clearance” box. Make sure the appropriate units are selected, “µmol/min/mg Protein”</w:t>
      </w:r>
      <w:r w:rsidR="009D3AAC">
        <w:t>.</w:t>
      </w:r>
    </w:p>
    <w:p w14:paraId="2CE92B4F" w14:textId="7965E3D0" w:rsidR="009F2A59" w:rsidRDefault="009F2A59" w:rsidP="00936084">
      <w:pPr>
        <w:pStyle w:val="ListParagraph"/>
        <w:numPr>
          <w:ilvl w:val="0"/>
          <w:numId w:val="27"/>
        </w:numPr>
        <w:jc w:val="both"/>
      </w:pPr>
      <w:r>
        <w:t>Leave the clearance scaling selection at “Rowland Equation”.</w:t>
      </w:r>
    </w:p>
    <w:p w14:paraId="45D9197D" w14:textId="42A4D956" w:rsidR="00C90B59" w:rsidRDefault="00C90B59" w:rsidP="00936084">
      <w:pPr>
        <w:pStyle w:val="ListParagraph"/>
        <w:numPr>
          <w:ilvl w:val="0"/>
          <w:numId w:val="27"/>
        </w:numPr>
        <w:jc w:val="both"/>
      </w:pPr>
      <w:r>
        <w:t>Navigate to the “Renal Clearance” tab in the dialog window and check the “Include Renal Clearance box</w:t>
      </w:r>
      <w:r w:rsidR="00081A30">
        <w:t>.</w:t>
      </w:r>
      <w:r>
        <w:t>”</w:t>
      </w:r>
    </w:p>
    <w:p w14:paraId="5C018049" w14:textId="48AEA09F" w:rsidR="00594969" w:rsidRDefault="00594969">
      <w:pPr>
        <w:pStyle w:val="ListParagraph"/>
        <w:numPr>
          <w:ilvl w:val="0"/>
          <w:numId w:val="27"/>
        </w:numPr>
        <w:jc w:val="both"/>
      </w:pPr>
      <w:r>
        <w:t>In the “Clearance in Blood” section, leave the “Measured Plasma Clearance” set to zero.</w:t>
      </w:r>
    </w:p>
    <w:p w14:paraId="6EDBB402" w14:textId="49DC141E" w:rsidR="00477618" w:rsidRDefault="00C91055" w:rsidP="00936084">
      <w:pPr>
        <w:pStyle w:val="ListParagraph"/>
        <w:numPr>
          <w:ilvl w:val="0"/>
          <w:numId w:val="27"/>
        </w:numPr>
        <w:jc w:val="both"/>
      </w:pPr>
      <w:r>
        <w:rPr>
          <w:noProof/>
        </w:rPr>
        <w:drawing>
          <wp:anchor distT="0" distB="0" distL="114300" distR="114300" simplePos="0" relativeHeight="251658243" behindDoc="0" locked="0" layoutInCell="1" allowOverlap="1" wp14:anchorId="7AC4F713" wp14:editId="1B11C236">
            <wp:simplePos x="0" y="0"/>
            <wp:positionH relativeFrom="margin">
              <wp:posOffset>-316230</wp:posOffset>
            </wp:positionH>
            <wp:positionV relativeFrom="paragraph">
              <wp:posOffset>429895</wp:posOffset>
            </wp:positionV>
            <wp:extent cx="6588125" cy="1304925"/>
            <wp:effectExtent l="0" t="0" r="317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65881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18">
        <w:t xml:space="preserve">Click “OK” to parameterize the model with the values </w:t>
      </w:r>
      <w:r w:rsidR="00081A30">
        <w:t xml:space="preserve">you </w:t>
      </w:r>
      <w:r w:rsidR="00477618">
        <w:t>just entered. The parameterized model is added as a row in the table on the “Setup” tab of the interface</w:t>
      </w:r>
      <w:r w:rsidR="00081A30">
        <w:t>.</w:t>
      </w:r>
    </w:p>
    <w:p w14:paraId="69B51B02" w14:textId="27930BFE" w:rsidR="00043287" w:rsidRDefault="007A1CD6" w:rsidP="00936084">
      <w:pPr>
        <w:pStyle w:val="Heading2"/>
      </w:pPr>
      <w:r>
        <w:t xml:space="preserve"> </w:t>
      </w:r>
      <w:r w:rsidR="007D4309">
        <w:t xml:space="preserve">Running </w:t>
      </w:r>
      <w:r w:rsidR="00D73D57">
        <w:t xml:space="preserve">the </w:t>
      </w:r>
      <w:r w:rsidR="007D4309">
        <w:t>model and viewing results</w:t>
      </w:r>
    </w:p>
    <w:p w14:paraId="26E52CDA" w14:textId="48FA1523" w:rsidR="007D4309" w:rsidRDefault="007D4309" w:rsidP="00A3341C">
      <w:pPr>
        <w:jc w:val="both"/>
      </w:pPr>
      <w:r>
        <w:t xml:space="preserve">At this point </w:t>
      </w:r>
      <w:r w:rsidR="00081A30">
        <w:t xml:space="preserve">you </w:t>
      </w:r>
      <w:r>
        <w:t xml:space="preserve">can continue to add more chemicals into the project or add more points of departure for chemicals already in the project. </w:t>
      </w:r>
      <w:r w:rsidR="00081A30">
        <w:t xml:space="preserve">After </w:t>
      </w:r>
      <w:r w:rsidR="00D9687B">
        <w:t>creat</w:t>
      </w:r>
      <w:r w:rsidR="00081A30">
        <w:t>ing</w:t>
      </w:r>
      <w:r w:rsidR="00D9687B">
        <w:t xml:space="preserve"> a model for each chemical and POD combination </w:t>
      </w:r>
      <w:r w:rsidR="008C17BE">
        <w:t xml:space="preserve">for which </w:t>
      </w:r>
      <w:r w:rsidR="00081A30">
        <w:t xml:space="preserve">you </w:t>
      </w:r>
      <w:r w:rsidR="008C17BE">
        <w:t>wan</w:t>
      </w:r>
      <w:r w:rsidR="00DA5186">
        <w:t>t</w:t>
      </w:r>
      <w:r w:rsidR="008C17BE">
        <w:t xml:space="preserve"> to calculate an equivalent applied dose, click the “Perform HT-IVIVE” button to </w:t>
      </w:r>
      <w:r w:rsidR="003B1F43">
        <w:t>run the HT-IVIVE model. Once complete</w:t>
      </w:r>
      <w:r w:rsidR="006C7926">
        <w:t>d,</w:t>
      </w:r>
      <w:r w:rsidR="003B1F43">
        <w:t xml:space="preserve"> PLETHEM switche</w:t>
      </w:r>
      <w:r w:rsidR="00081A30">
        <w:t>s</w:t>
      </w:r>
      <w:r w:rsidR="003B1F43">
        <w:t xml:space="preserve"> to the results tab. </w:t>
      </w:r>
    </w:p>
    <w:p w14:paraId="509EADBF" w14:textId="4DE2F4EB" w:rsidR="00675F2B" w:rsidRDefault="003B1F43" w:rsidP="00A3341C">
      <w:pPr>
        <w:jc w:val="both"/>
      </w:pPr>
      <w:r>
        <w:t>The results tab is a table that summarizes the input that went into the model along with certain calculated values from the model itself.</w:t>
      </w:r>
    </w:p>
    <w:p w14:paraId="48BED8F2" w14:textId="3CA96E64" w:rsidR="00675F2B" w:rsidRDefault="00675F2B" w:rsidP="00A3341C">
      <w:pPr>
        <w:jc w:val="both"/>
      </w:pPr>
      <w:r>
        <w:t>The calculated parameters include</w:t>
      </w:r>
      <w:r w:rsidR="004442B2">
        <w:t>:</w:t>
      </w:r>
    </w:p>
    <w:p w14:paraId="4ABA2977" w14:textId="73EBB563" w:rsidR="003B1F43" w:rsidRDefault="005B6BC1" w:rsidP="00A3341C">
      <w:pPr>
        <w:pStyle w:val="ListParagraph"/>
        <w:numPr>
          <w:ilvl w:val="0"/>
          <w:numId w:val="18"/>
        </w:numPr>
        <w:jc w:val="both"/>
      </w:pPr>
      <w:r>
        <w:lastRenderedPageBreak/>
        <w:t>Actual Hepatic</w:t>
      </w:r>
      <w:r w:rsidR="00252FAC">
        <w:t>/Renal/Plasma</w:t>
      </w:r>
      <w:r>
        <w:t xml:space="preserve"> Clearance</w:t>
      </w:r>
      <w:r w:rsidR="00081A30">
        <w:t>—</w:t>
      </w:r>
      <w:r>
        <w:t xml:space="preserve">the </w:t>
      </w:r>
      <w:r w:rsidR="00252FAC">
        <w:t>in vivo</w:t>
      </w:r>
      <w:r>
        <w:t xml:space="preserve"> clearance in L/h that is calculated by scaling </w:t>
      </w:r>
      <w:r w:rsidR="00252FAC">
        <w:t>in</w:t>
      </w:r>
      <w:r w:rsidR="00DD18A5">
        <w:t xml:space="preserve"> </w:t>
      </w:r>
      <w:r w:rsidR="00252FAC">
        <w:t xml:space="preserve">vitro values to </w:t>
      </w:r>
      <w:r w:rsidR="00027BAE">
        <w:t>i</w:t>
      </w:r>
      <w:r w:rsidR="00252FAC">
        <w:t xml:space="preserve">n vivo </w:t>
      </w:r>
      <w:r w:rsidR="00541F9F">
        <w:t>values</w:t>
      </w:r>
      <w:r w:rsidR="00CA4EBB">
        <w:t>.</w:t>
      </w:r>
    </w:p>
    <w:p w14:paraId="21221BE9" w14:textId="349A80D7" w:rsidR="00252FAC" w:rsidRDefault="00B61B0D" w:rsidP="00A3341C">
      <w:pPr>
        <w:pStyle w:val="ListParagraph"/>
        <w:numPr>
          <w:ilvl w:val="0"/>
          <w:numId w:val="18"/>
        </w:numPr>
        <w:jc w:val="both"/>
      </w:pPr>
      <w:r>
        <w:t>CSS</w:t>
      </w:r>
      <w:r w:rsidR="00081A30">
        <w:t>—</w:t>
      </w:r>
      <w:r>
        <w:t xml:space="preserve">the steady-state plasma concentration in vivo that will result from the standard 1 mg/kg/day exposure. </w:t>
      </w:r>
      <w:r w:rsidR="002A79CD">
        <w:t xml:space="preserve">The CSS for coumarin </w:t>
      </w:r>
      <w:r w:rsidR="006D18E1">
        <w:t>is 0.0738 mg/L</w:t>
      </w:r>
      <w:r w:rsidR="00027BAE">
        <w:t>.</w:t>
      </w:r>
    </w:p>
    <w:p w14:paraId="64A49933" w14:textId="1EB7C450" w:rsidR="00F81283" w:rsidRDefault="00B61B0D" w:rsidP="00A3341C">
      <w:pPr>
        <w:pStyle w:val="ListParagraph"/>
        <w:numPr>
          <w:ilvl w:val="0"/>
          <w:numId w:val="18"/>
        </w:numPr>
        <w:jc w:val="both"/>
      </w:pPr>
      <w:r>
        <w:t>Equivalent dose</w:t>
      </w:r>
      <w:r w:rsidR="00081A30">
        <w:t>—</w:t>
      </w:r>
      <w:r>
        <w:t xml:space="preserve">the equivalent applied dose in vivo that would generate a </w:t>
      </w:r>
      <w:r w:rsidR="00081A30">
        <w:t xml:space="preserve">CSS </w:t>
      </w:r>
      <w:r>
        <w:t xml:space="preserve">equal to the observed point of departure in vitro. </w:t>
      </w:r>
      <w:r w:rsidR="00081ED6">
        <w:t>In this case study</w:t>
      </w:r>
      <w:r w:rsidR="0075595A">
        <w:t>,</w:t>
      </w:r>
      <w:r w:rsidR="00081ED6">
        <w:t xml:space="preserve"> that value is </w:t>
      </w:r>
      <w:r w:rsidR="00027BAE">
        <w:t xml:space="preserve">an oral exposure of </w:t>
      </w:r>
      <w:r w:rsidR="006D18E1">
        <w:t>27.52</w:t>
      </w:r>
      <w:r w:rsidR="00081ED6">
        <w:t xml:space="preserve"> mg/kg/day</w:t>
      </w:r>
      <w:r w:rsidR="00CA4EBB">
        <w:t>.</w:t>
      </w:r>
    </w:p>
    <w:p w14:paraId="3BB8D09F" w14:textId="76E4C81B" w:rsidR="004145EF" w:rsidRDefault="004145EF" w:rsidP="00A3341C">
      <w:pPr>
        <w:pStyle w:val="ListParagraph"/>
        <w:numPr>
          <w:ilvl w:val="0"/>
          <w:numId w:val="18"/>
        </w:numPr>
        <w:jc w:val="both"/>
      </w:pPr>
      <w:r>
        <w:t>Margin of Exposure</w:t>
      </w:r>
      <w:r w:rsidR="0075595A">
        <w:t>—</w:t>
      </w:r>
      <w:r w:rsidR="00027BAE">
        <w:t>the</w:t>
      </w:r>
      <w:r w:rsidR="00C74914">
        <w:t xml:space="preserve"> ratio of </w:t>
      </w:r>
      <w:r w:rsidR="00027BAE">
        <w:t xml:space="preserve">the </w:t>
      </w:r>
      <w:r w:rsidR="00120B02">
        <w:t xml:space="preserve">estimated </w:t>
      </w:r>
      <w:r w:rsidR="00027BAE">
        <w:t xml:space="preserve">in vivo </w:t>
      </w:r>
      <w:r w:rsidR="00120B02">
        <w:t xml:space="preserve">exposure </w:t>
      </w:r>
      <w:r w:rsidR="00C74914">
        <w:t xml:space="preserve">to </w:t>
      </w:r>
      <w:r w:rsidR="00027BAE">
        <w:t xml:space="preserve">the </w:t>
      </w:r>
      <w:r w:rsidR="00C74914">
        <w:t>equivalent dose</w:t>
      </w:r>
      <w:r w:rsidR="00120B02">
        <w:t xml:space="preserve"> </w:t>
      </w:r>
      <w:r w:rsidR="00027BAE">
        <w:t>corresponding to the in vitro POD</w:t>
      </w:r>
      <w:r w:rsidR="00C74914">
        <w:t>.</w:t>
      </w:r>
      <w:r w:rsidR="00081ED6">
        <w:t xml:space="preserve"> </w:t>
      </w:r>
      <w:r w:rsidR="00120B02">
        <w:t>In this case</w:t>
      </w:r>
      <w:r w:rsidR="0052104A">
        <w:t xml:space="preserve"> study, </w:t>
      </w:r>
      <w:r w:rsidR="00120B02">
        <w:t>the</w:t>
      </w:r>
      <w:r w:rsidR="00785D47">
        <w:t xml:space="preserve"> upper 95</w:t>
      </w:r>
      <w:r w:rsidR="00785D47" w:rsidRPr="00785D47">
        <w:rPr>
          <w:vertAlign w:val="superscript"/>
        </w:rPr>
        <w:t>th</w:t>
      </w:r>
      <w:r w:rsidR="00785D47">
        <w:t xml:space="preserve"> percentile </w:t>
      </w:r>
      <w:r w:rsidR="00D0760D">
        <w:t xml:space="preserve">of </w:t>
      </w:r>
      <w:r w:rsidR="00785D47">
        <w:t>exposure</w:t>
      </w:r>
      <w:r w:rsidR="007B7F05">
        <w:t xml:space="preserve"> </w:t>
      </w:r>
      <w:r w:rsidR="00D0760D">
        <w:t xml:space="preserve">is estimated </w:t>
      </w:r>
      <w:r w:rsidR="00C1763E">
        <w:t xml:space="preserve">to be </w:t>
      </w:r>
      <w:r w:rsidR="007B7F05">
        <w:t xml:space="preserve">0.000435 mg/kg/day. </w:t>
      </w:r>
      <w:r w:rsidR="00DF23C7">
        <w:t xml:space="preserve">However, an </w:t>
      </w:r>
      <w:r w:rsidR="00120B02">
        <w:t>exposure</w:t>
      </w:r>
      <w:r w:rsidR="00DF23C7">
        <w:t xml:space="preserve"> of </w:t>
      </w:r>
      <w:r w:rsidR="007B5819">
        <w:t xml:space="preserve">27.52 </w:t>
      </w:r>
      <w:r w:rsidR="00DF23C7">
        <w:t>mg/kg/day is needed to achieve a steady state plasma concentration</w:t>
      </w:r>
      <w:r w:rsidR="00120B02">
        <w:t xml:space="preserve"> that corresponds to the in</w:t>
      </w:r>
      <w:r w:rsidR="00D6085E">
        <w:t xml:space="preserve"> </w:t>
      </w:r>
      <w:r w:rsidR="00120B02">
        <w:t>vitro point of departure</w:t>
      </w:r>
      <w:r w:rsidR="00DF23C7">
        <w:t>.</w:t>
      </w:r>
    </w:p>
    <w:p w14:paraId="6A7A1C3B" w14:textId="6B2E4CC8" w:rsidR="00C91055" w:rsidRPr="007D4309" w:rsidRDefault="00C91055" w:rsidP="00936084">
      <w:pPr>
        <w:jc w:val="both"/>
      </w:pPr>
      <w:r>
        <w:rPr>
          <w:noProof/>
        </w:rPr>
        <w:drawing>
          <wp:anchor distT="0" distB="0" distL="114300" distR="114300" simplePos="0" relativeHeight="251658244" behindDoc="0" locked="0" layoutInCell="1" allowOverlap="1" wp14:anchorId="74531E15" wp14:editId="751A5635">
            <wp:simplePos x="0" y="0"/>
            <wp:positionH relativeFrom="margin">
              <wp:align>center</wp:align>
            </wp:positionH>
            <wp:positionV relativeFrom="paragraph">
              <wp:posOffset>547812</wp:posOffset>
            </wp:positionV>
            <wp:extent cx="7479739" cy="1112520"/>
            <wp:effectExtent l="0" t="0" r="698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7479739"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table can be </w:t>
      </w:r>
      <w:r w:rsidR="006B07D3">
        <w:t xml:space="preserve">copied to the clipboard for pasting into </w:t>
      </w:r>
      <w:r w:rsidR="00B5604C">
        <w:t xml:space="preserve">another program (e.g., Excel) using the “Copy” button, or </w:t>
      </w:r>
      <w:r>
        <w:t xml:space="preserve">downloaded as a “csv” file using the </w:t>
      </w:r>
      <w:r w:rsidR="00B5604C">
        <w:t xml:space="preserve">CSV </w:t>
      </w:r>
      <w:r>
        <w:t>button on the screen.</w:t>
      </w:r>
    </w:p>
    <w:sectPr w:rsidR="00C91055" w:rsidRPr="007D4309" w:rsidSect="00D61232">
      <w:headerReference w:type="default" r:id="rId24"/>
      <w:footerReference w:type="even" r:id="rId25"/>
      <w:footerReference w:type="default" r:id="rId26"/>
      <w:pgSz w:w="12240" w:h="15840"/>
      <w:pgMar w:top="720" w:right="1080" w:bottom="72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1B490" w14:textId="77777777" w:rsidR="00E54D9E" w:rsidRDefault="00E54D9E" w:rsidP="00132F1A">
      <w:pPr>
        <w:spacing w:after="0" w:line="240" w:lineRule="auto"/>
      </w:pPr>
      <w:r>
        <w:separator/>
      </w:r>
    </w:p>
  </w:endnote>
  <w:endnote w:type="continuationSeparator" w:id="0">
    <w:p w14:paraId="099C564D" w14:textId="77777777" w:rsidR="00E54D9E" w:rsidRDefault="00E54D9E" w:rsidP="00132F1A">
      <w:pPr>
        <w:spacing w:after="0" w:line="240" w:lineRule="auto"/>
      </w:pPr>
      <w:r>
        <w:continuationSeparator/>
      </w:r>
    </w:p>
  </w:endnote>
  <w:endnote w:type="continuationNotice" w:id="1">
    <w:p w14:paraId="2D62DA83" w14:textId="77777777" w:rsidR="00E54D9E" w:rsidRDefault="00E54D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538523"/>
      <w:docPartObj>
        <w:docPartGallery w:val="Page Numbers (Bottom of Page)"/>
        <w:docPartUnique/>
      </w:docPartObj>
    </w:sdtPr>
    <w:sdtContent>
      <w:p w14:paraId="7D040D78" w14:textId="68F41694" w:rsidR="00D61232" w:rsidRDefault="00D61232" w:rsidP="00EE59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553C2" w14:textId="77777777" w:rsidR="00D61232" w:rsidRDefault="00D61232" w:rsidP="00D612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7908869"/>
      <w:docPartObj>
        <w:docPartGallery w:val="Page Numbers (Bottom of Page)"/>
        <w:docPartUnique/>
      </w:docPartObj>
    </w:sdtPr>
    <w:sdtContent>
      <w:p w14:paraId="394AE166" w14:textId="5FC88F25" w:rsidR="00D61232" w:rsidRDefault="00D61232" w:rsidP="00EE59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sdtContent>
  </w:sdt>
  <w:p w14:paraId="0B56362B" w14:textId="74296F69" w:rsidR="00D61232" w:rsidRDefault="00D61232" w:rsidP="00D61232">
    <w:pPr>
      <w:pStyle w:val="Footer"/>
      <w:tabs>
        <w:tab w:val="clear" w:pos="4680"/>
        <w:tab w:val="left" w:pos="8008"/>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1B35" w14:textId="77777777" w:rsidR="00E54D9E" w:rsidRDefault="00E54D9E" w:rsidP="00132F1A">
      <w:pPr>
        <w:spacing w:after="0" w:line="240" w:lineRule="auto"/>
      </w:pPr>
      <w:r>
        <w:separator/>
      </w:r>
    </w:p>
  </w:footnote>
  <w:footnote w:type="continuationSeparator" w:id="0">
    <w:p w14:paraId="72867F9F" w14:textId="77777777" w:rsidR="00E54D9E" w:rsidRDefault="00E54D9E" w:rsidP="00132F1A">
      <w:pPr>
        <w:spacing w:after="0" w:line="240" w:lineRule="auto"/>
      </w:pPr>
      <w:r>
        <w:continuationSeparator/>
      </w:r>
    </w:p>
  </w:footnote>
  <w:footnote w:type="continuationNotice" w:id="1">
    <w:p w14:paraId="656128FF" w14:textId="77777777" w:rsidR="00E54D9E" w:rsidRDefault="00E54D9E">
      <w:pPr>
        <w:spacing w:after="0" w:line="240" w:lineRule="auto"/>
      </w:pPr>
    </w:p>
  </w:footnote>
  <w:footnote w:id="2">
    <w:p w14:paraId="05CA8487" w14:textId="248EC41C" w:rsidR="000210A7" w:rsidRPr="000210A7" w:rsidRDefault="000210A7" w:rsidP="000210A7">
      <w:pPr>
        <w:pStyle w:val="FootnoteText"/>
      </w:pPr>
      <w:r>
        <w:rPr>
          <w:rStyle w:val="FootnoteReference"/>
        </w:rPr>
        <w:footnoteRef/>
      </w:r>
      <w:r>
        <w:t xml:space="preserve"> </w:t>
      </w:r>
      <w:r w:rsidRPr="000C2FEF">
        <w:rPr>
          <w:sz w:val="18"/>
          <w:szCs w:val="18"/>
        </w:rPr>
        <w:t xml:space="preserve">Wambaugh, </w:t>
      </w:r>
      <w:r w:rsidR="000C2FEF">
        <w:rPr>
          <w:sz w:val="18"/>
          <w:szCs w:val="18"/>
        </w:rPr>
        <w:t>J</w:t>
      </w:r>
      <w:r w:rsidRPr="000C2FEF">
        <w:rPr>
          <w:sz w:val="18"/>
          <w:szCs w:val="18"/>
        </w:rPr>
        <w:t>F., et al. </w:t>
      </w:r>
      <w:r w:rsidRPr="000C2FEF">
        <w:rPr>
          <w:i/>
          <w:iCs/>
          <w:sz w:val="18"/>
          <w:szCs w:val="18"/>
        </w:rPr>
        <w:t>Toxicological Sciences</w:t>
      </w:r>
      <w:r w:rsidRPr="000C2FEF">
        <w:rPr>
          <w:sz w:val="18"/>
          <w:szCs w:val="18"/>
        </w:rPr>
        <w:t> 163.1 (2018): 152-169.</w:t>
      </w:r>
    </w:p>
    <w:p w14:paraId="22BB4FF0" w14:textId="454AEDC2" w:rsidR="000210A7" w:rsidRDefault="000210A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736DD" w14:textId="6AB365D0" w:rsidR="00132F1A" w:rsidRPr="00BF220C" w:rsidRDefault="00132F1A" w:rsidP="00132F1A">
    <w:pPr>
      <w:pStyle w:val="Header"/>
      <w:jc w:val="right"/>
      <w:rPr>
        <w:sz w:val="20"/>
        <w:szCs w:val="20"/>
      </w:rPr>
    </w:pPr>
    <w:r w:rsidRPr="00BF220C">
      <w:rPr>
        <w:sz w:val="20"/>
        <w:szCs w:val="20"/>
      </w:rPr>
      <w:t>PLETHEM Case Study Workflows</w:t>
    </w:r>
  </w:p>
  <w:p w14:paraId="7F55D86A" w14:textId="6E9DCD89" w:rsidR="00132F1A" w:rsidRPr="00BF220C" w:rsidRDefault="00751093" w:rsidP="00132F1A">
    <w:pPr>
      <w:pStyle w:val="Header"/>
      <w:jc w:val="right"/>
      <w:rPr>
        <w:sz w:val="20"/>
        <w:szCs w:val="20"/>
      </w:rPr>
    </w:pPr>
    <w:r w:rsidRPr="00BF220C">
      <w:rPr>
        <w:sz w:val="20"/>
        <w:szCs w:val="20"/>
      </w:rPr>
      <w:t>Using HT-IVIVE to estimate equivalent applied dose and margin of exposure from in</w:t>
    </w:r>
    <w:r w:rsidR="00685492" w:rsidRPr="00BF220C">
      <w:rPr>
        <w:sz w:val="20"/>
        <w:szCs w:val="20"/>
      </w:rPr>
      <w:t xml:space="preserve"> </w:t>
    </w:r>
    <w:r w:rsidRPr="00BF220C">
      <w:rPr>
        <w:sz w:val="20"/>
        <w:szCs w:val="20"/>
      </w:rPr>
      <w:t>vitro data</w:t>
    </w:r>
  </w:p>
  <w:p w14:paraId="212EFE38" w14:textId="2EE0910F" w:rsidR="00132F1A" w:rsidRDefault="00D61232" w:rsidP="00BF220C">
    <w:pPr>
      <w:pStyle w:val="Header"/>
      <w:jc w:val="right"/>
      <w:rPr>
        <w:sz w:val="20"/>
        <w:szCs w:val="20"/>
      </w:rPr>
    </w:pPr>
    <w:r w:rsidRPr="00D61232">
      <w:rPr>
        <w:color w:val="FF0000"/>
        <w:sz w:val="20"/>
        <w:szCs w:val="20"/>
      </w:rPr>
      <w:t xml:space="preserve">Beta Release </w:t>
    </w:r>
    <w:r>
      <w:rPr>
        <w:sz w:val="20"/>
        <w:szCs w:val="20"/>
      </w:rPr>
      <w:t>| September 17</w:t>
    </w:r>
    <w:r w:rsidR="00BF220C">
      <w:rPr>
        <w:sz w:val="20"/>
        <w:szCs w:val="20"/>
      </w:rPr>
      <w:t>, 2020</w:t>
    </w:r>
  </w:p>
  <w:p w14:paraId="7829BFD7" w14:textId="77777777" w:rsidR="00D61232" w:rsidRPr="00BF220C" w:rsidRDefault="00D61232" w:rsidP="00BF220C">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B04"/>
    <w:multiLevelType w:val="multilevel"/>
    <w:tmpl w:val="D3526F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97B87"/>
    <w:multiLevelType w:val="hybridMultilevel"/>
    <w:tmpl w:val="8954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C36E3"/>
    <w:multiLevelType w:val="hybridMultilevel"/>
    <w:tmpl w:val="E0C8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26A94"/>
    <w:multiLevelType w:val="hybridMultilevel"/>
    <w:tmpl w:val="E228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7F1C"/>
    <w:multiLevelType w:val="hybridMultilevel"/>
    <w:tmpl w:val="B796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861CA"/>
    <w:multiLevelType w:val="hybridMultilevel"/>
    <w:tmpl w:val="1EC82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76404"/>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76432C"/>
    <w:multiLevelType w:val="hybridMultilevel"/>
    <w:tmpl w:val="5AC4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9282B"/>
    <w:multiLevelType w:val="multilevel"/>
    <w:tmpl w:val="96C81774"/>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551C7E"/>
    <w:multiLevelType w:val="hybridMultilevel"/>
    <w:tmpl w:val="8CBCA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56B6C"/>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EF81B7D"/>
    <w:multiLevelType w:val="hybridMultilevel"/>
    <w:tmpl w:val="94A2A7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3ED94463"/>
    <w:multiLevelType w:val="multilevel"/>
    <w:tmpl w:val="75CC71F6"/>
    <w:lvl w:ilvl="0">
      <w:start w:val="1"/>
      <w:numFmt w:val="decimal"/>
      <w:lvlText w:val="%1."/>
      <w:lvlJc w:val="left"/>
      <w:pPr>
        <w:ind w:left="720" w:hanging="360"/>
      </w:pPr>
    </w:lvl>
    <w:lvl w:ilvl="1">
      <w:start w:val="1"/>
      <w:numFmt w:val="decimal"/>
      <w:pStyle w:val="Heading2"/>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4A4120"/>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31E41"/>
    <w:multiLevelType w:val="hybridMultilevel"/>
    <w:tmpl w:val="9D80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F5445"/>
    <w:multiLevelType w:val="hybridMultilevel"/>
    <w:tmpl w:val="489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85991"/>
    <w:multiLevelType w:val="multilevel"/>
    <w:tmpl w:val="33FA82B0"/>
    <w:lvl w:ilvl="0">
      <w:start w:val="1"/>
      <w:numFmt w:val="decimal"/>
      <w:lvlText w:val="%1."/>
      <w:lvlJc w:val="left"/>
      <w:pPr>
        <w:ind w:left="720" w:hanging="360"/>
      </w:pPr>
      <w:rPr>
        <w:rFonts w:hint="default"/>
      </w:rPr>
    </w:lvl>
    <w:lvl w:ilvl="1">
      <w:start w:val="1"/>
      <w:numFmt w:val="decima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6263C87"/>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891A71"/>
    <w:multiLevelType w:val="hybridMultilevel"/>
    <w:tmpl w:val="208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B6E92"/>
    <w:multiLevelType w:val="hybridMultilevel"/>
    <w:tmpl w:val="5D8C3F5A"/>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5B7D1C67"/>
    <w:multiLevelType w:val="hybridMultilevel"/>
    <w:tmpl w:val="ACD61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A69EC"/>
    <w:multiLevelType w:val="hybridMultilevel"/>
    <w:tmpl w:val="9D8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41A51"/>
    <w:multiLevelType w:val="hybridMultilevel"/>
    <w:tmpl w:val="835A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9029A"/>
    <w:multiLevelType w:val="hybridMultilevel"/>
    <w:tmpl w:val="EC2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A6510"/>
    <w:multiLevelType w:val="hybridMultilevel"/>
    <w:tmpl w:val="DAB02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B1E1A"/>
    <w:multiLevelType w:val="hybridMultilevel"/>
    <w:tmpl w:val="1ADE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E5995"/>
    <w:multiLevelType w:val="multilevel"/>
    <w:tmpl w:val="D3526F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7"/>
  </w:num>
  <w:num w:numId="3">
    <w:abstractNumId w:val="2"/>
  </w:num>
  <w:num w:numId="4">
    <w:abstractNumId w:val="3"/>
  </w:num>
  <w:num w:numId="5">
    <w:abstractNumId w:val="0"/>
  </w:num>
  <w:num w:numId="6">
    <w:abstractNumId w:val="20"/>
  </w:num>
  <w:num w:numId="7">
    <w:abstractNumId w:val="25"/>
  </w:num>
  <w:num w:numId="8">
    <w:abstractNumId w:val="23"/>
  </w:num>
  <w:num w:numId="9">
    <w:abstractNumId w:val="19"/>
  </w:num>
  <w:num w:numId="10">
    <w:abstractNumId w:val="5"/>
  </w:num>
  <w:num w:numId="11">
    <w:abstractNumId w:val="1"/>
  </w:num>
  <w:num w:numId="12">
    <w:abstractNumId w:val="22"/>
  </w:num>
  <w:num w:numId="13">
    <w:abstractNumId w:val="24"/>
  </w:num>
  <w:num w:numId="14">
    <w:abstractNumId w:val="9"/>
  </w:num>
  <w:num w:numId="15">
    <w:abstractNumId w:val="18"/>
  </w:num>
  <w:num w:numId="16">
    <w:abstractNumId w:val="14"/>
  </w:num>
  <w:num w:numId="17">
    <w:abstractNumId w:val="15"/>
  </w:num>
  <w:num w:numId="18">
    <w:abstractNumId w:val="11"/>
  </w:num>
  <w:num w:numId="19">
    <w:abstractNumId w:val="4"/>
  </w:num>
  <w:num w:numId="20">
    <w:abstractNumId w:val="12"/>
  </w:num>
  <w:num w:numId="21">
    <w:abstractNumId w:val="16"/>
  </w:num>
  <w:num w:numId="22">
    <w:abstractNumId w:val="8"/>
  </w:num>
  <w:num w:numId="23">
    <w:abstractNumId w:val="13"/>
  </w:num>
  <w:num w:numId="24">
    <w:abstractNumId w:val="6"/>
  </w:num>
  <w:num w:numId="25">
    <w:abstractNumId w:val="10"/>
  </w:num>
  <w:num w:numId="26">
    <w:abstractNumId w:val="26"/>
  </w:num>
  <w:num w:numId="27">
    <w:abstractNumId w:val="17"/>
  </w:num>
  <w:num w:numId="28">
    <w:abstractNumId w:val="1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1A"/>
    <w:rsid w:val="00012219"/>
    <w:rsid w:val="000210A7"/>
    <w:rsid w:val="00026281"/>
    <w:rsid w:val="00027BAE"/>
    <w:rsid w:val="00032129"/>
    <w:rsid w:val="00033AB5"/>
    <w:rsid w:val="0003439A"/>
    <w:rsid w:val="0004266C"/>
    <w:rsid w:val="00043287"/>
    <w:rsid w:val="0004343D"/>
    <w:rsid w:val="000447A6"/>
    <w:rsid w:val="00044E58"/>
    <w:rsid w:val="0004609B"/>
    <w:rsid w:val="00053F45"/>
    <w:rsid w:val="00065AE5"/>
    <w:rsid w:val="000734D9"/>
    <w:rsid w:val="000775E7"/>
    <w:rsid w:val="0008168B"/>
    <w:rsid w:val="00081A30"/>
    <w:rsid w:val="00081ED6"/>
    <w:rsid w:val="000832F5"/>
    <w:rsid w:val="00093B26"/>
    <w:rsid w:val="00095BE0"/>
    <w:rsid w:val="0009672D"/>
    <w:rsid w:val="000A06E3"/>
    <w:rsid w:val="000A4D83"/>
    <w:rsid w:val="000B42CE"/>
    <w:rsid w:val="000B5743"/>
    <w:rsid w:val="000B7DF8"/>
    <w:rsid w:val="000C08A8"/>
    <w:rsid w:val="000C2FEF"/>
    <w:rsid w:val="000C3A3E"/>
    <w:rsid w:val="000C73D6"/>
    <w:rsid w:val="000D42E8"/>
    <w:rsid w:val="000E2207"/>
    <w:rsid w:val="000F4EAE"/>
    <w:rsid w:val="001006C6"/>
    <w:rsid w:val="00100712"/>
    <w:rsid w:val="00101D2B"/>
    <w:rsid w:val="00104B2F"/>
    <w:rsid w:val="00104FC9"/>
    <w:rsid w:val="00110767"/>
    <w:rsid w:val="00111D00"/>
    <w:rsid w:val="00113965"/>
    <w:rsid w:val="0011562C"/>
    <w:rsid w:val="00120B02"/>
    <w:rsid w:val="00124D67"/>
    <w:rsid w:val="00127F74"/>
    <w:rsid w:val="00132F1A"/>
    <w:rsid w:val="00134FD2"/>
    <w:rsid w:val="00140739"/>
    <w:rsid w:val="001438CA"/>
    <w:rsid w:val="00144E64"/>
    <w:rsid w:val="00160546"/>
    <w:rsid w:val="00163E08"/>
    <w:rsid w:val="00167BEF"/>
    <w:rsid w:val="00176073"/>
    <w:rsid w:val="00180648"/>
    <w:rsid w:val="00181D6C"/>
    <w:rsid w:val="00184BC3"/>
    <w:rsid w:val="00192F29"/>
    <w:rsid w:val="001963B6"/>
    <w:rsid w:val="00196B12"/>
    <w:rsid w:val="00197C52"/>
    <w:rsid w:val="001A0F57"/>
    <w:rsid w:val="001A1028"/>
    <w:rsid w:val="001A78C0"/>
    <w:rsid w:val="001B05F5"/>
    <w:rsid w:val="001B24FF"/>
    <w:rsid w:val="001B4D02"/>
    <w:rsid w:val="001B745F"/>
    <w:rsid w:val="001D14D8"/>
    <w:rsid w:val="001D6588"/>
    <w:rsid w:val="001D6993"/>
    <w:rsid w:val="001E6638"/>
    <w:rsid w:val="001F46E7"/>
    <w:rsid w:val="00202853"/>
    <w:rsid w:val="00205B0C"/>
    <w:rsid w:val="0021194A"/>
    <w:rsid w:val="00216D06"/>
    <w:rsid w:val="00217F16"/>
    <w:rsid w:val="00225032"/>
    <w:rsid w:val="00230441"/>
    <w:rsid w:val="0023090A"/>
    <w:rsid w:val="0023121F"/>
    <w:rsid w:val="002368B5"/>
    <w:rsid w:val="00246DCD"/>
    <w:rsid w:val="002476B7"/>
    <w:rsid w:val="0025061B"/>
    <w:rsid w:val="00252FAC"/>
    <w:rsid w:val="0025324C"/>
    <w:rsid w:val="00256F4C"/>
    <w:rsid w:val="0026020C"/>
    <w:rsid w:val="002621EC"/>
    <w:rsid w:val="002635A7"/>
    <w:rsid w:val="00272E16"/>
    <w:rsid w:val="00274786"/>
    <w:rsid w:val="00285521"/>
    <w:rsid w:val="00285BB7"/>
    <w:rsid w:val="0029382B"/>
    <w:rsid w:val="00293C7D"/>
    <w:rsid w:val="002948A7"/>
    <w:rsid w:val="002A130D"/>
    <w:rsid w:val="002A79CD"/>
    <w:rsid w:val="002B7F2A"/>
    <w:rsid w:val="002C0F49"/>
    <w:rsid w:val="002C4863"/>
    <w:rsid w:val="002C74B8"/>
    <w:rsid w:val="002F666B"/>
    <w:rsid w:val="00313CA2"/>
    <w:rsid w:val="0031525E"/>
    <w:rsid w:val="003232B3"/>
    <w:rsid w:val="003239E4"/>
    <w:rsid w:val="00326FDC"/>
    <w:rsid w:val="0033241D"/>
    <w:rsid w:val="00345988"/>
    <w:rsid w:val="00345A8C"/>
    <w:rsid w:val="00345ABD"/>
    <w:rsid w:val="00346EFE"/>
    <w:rsid w:val="00352F96"/>
    <w:rsid w:val="0035738E"/>
    <w:rsid w:val="0036262B"/>
    <w:rsid w:val="00370F0D"/>
    <w:rsid w:val="00371F30"/>
    <w:rsid w:val="00372B0F"/>
    <w:rsid w:val="00377136"/>
    <w:rsid w:val="0038079E"/>
    <w:rsid w:val="00381891"/>
    <w:rsid w:val="003854FD"/>
    <w:rsid w:val="00386925"/>
    <w:rsid w:val="003915AD"/>
    <w:rsid w:val="003927BB"/>
    <w:rsid w:val="00393C74"/>
    <w:rsid w:val="003A064C"/>
    <w:rsid w:val="003A1102"/>
    <w:rsid w:val="003A1D67"/>
    <w:rsid w:val="003A21E0"/>
    <w:rsid w:val="003A25D3"/>
    <w:rsid w:val="003A7592"/>
    <w:rsid w:val="003B1F43"/>
    <w:rsid w:val="003B2DED"/>
    <w:rsid w:val="003B426A"/>
    <w:rsid w:val="003B45AC"/>
    <w:rsid w:val="003B5BC7"/>
    <w:rsid w:val="003D1F5E"/>
    <w:rsid w:val="003D2650"/>
    <w:rsid w:val="003D4739"/>
    <w:rsid w:val="003D6748"/>
    <w:rsid w:val="003D72E3"/>
    <w:rsid w:val="003D7AF8"/>
    <w:rsid w:val="0040606A"/>
    <w:rsid w:val="004106CE"/>
    <w:rsid w:val="00411BCA"/>
    <w:rsid w:val="004145EF"/>
    <w:rsid w:val="0041697C"/>
    <w:rsid w:val="00430CE3"/>
    <w:rsid w:val="004324D2"/>
    <w:rsid w:val="00434DDB"/>
    <w:rsid w:val="0043530F"/>
    <w:rsid w:val="0043696A"/>
    <w:rsid w:val="004429B5"/>
    <w:rsid w:val="00443BD9"/>
    <w:rsid w:val="004442B2"/>
    <w:rsid w:val="0044442F"/>
    <w:rsid w:val="00447663"/>
    <w:rsid w:val="00451B49"/>
    <w:rsid w:val="00454342"/>
    <w:rsid w:val="00455947"/>
    <w:rsid w:val="0046045C"/>
    <w:rsid w:val="004606FD"/>
    <w:rsid w:val="0046277F"/>
    <w:rsid w:val="00462E95"/>
    <w:rsid w:val="00464595"/>
    <w:rsid w:val="004719C6"/>
    <w:rsid w:val="00475D4F"/>
    <w:rsid w:val="004766AD"/>
    <w:rsid w:val="0047701F"/>
    <w:rsid w:val="00477618"/>
    <w:rsid w:val="00486E85"/>
    <w:rsid w:val="00492E2C"/>
    <w:rsid w:val="00497981"/>
    <w:rsid w:val="004A2D1F"/>
    <w:rsid w:val="004A52A4"/>
    <w:rsid w:val="004A5CB0"/>
    <w:rsid w:val="004B0DE7"/>
    <w:rsid w:val="004B3560"/>
    <w:rsid w:val="004B6D7B"/>
    <w:rsid w:val="004C24AF"/>
    <w:rsid w:val="004C2C4A"/>
    <w:rsid w:val="004C41ED"/>
    <w:rsid w:val="004C7907"/>
    <w:rsid w:val="004D2AEB"/>
    <w:rsid w:val="004E1D6A"/>
    <w:rsid w:val="004F394A"/>
    <w:rsid w:val="004F7090"/>
    <w:rsid w:val="005046AD"/>
    <w:rsid w:val="005127A1"/>
    <w:rsid w:val="005137B1"/>
    <w:rsid w:val="00513C2F"/>
    <w:rsid w:val="0052104A"/>
    <w:rsid w:val="00521948"/>
    <w:rsid w:val="005253F5"/>
    <w:rsid w:val="0053313E"/>
    <w:rsid w:val="00535700"/>
    <w:rsid w:val="00541F9F"/>
    <w:rsid w:val="005520C6"/>
    <w:rsid w:val="00554E43"/>
    <w:rsid w:val="0055784E"/>
    <w:rsid w:val="005607AB"/>
    <w:rsid w:val="005613D4"/>
    <w:rsid w:val="005619E7"/>
    <w:rsid w:val="005626A3"/>
    <w:rsid w:val="00570409"/>
    <w:rsid w:val="00572700"/>
    <w:rsid w:val="005735B9"/>
    <w:rsid w:val="00575183"/>
    <w:rsid w:val="00575D47"/>
    <w:rsid w:val="00576C1A"/>
    <w:rsid w:val="00594969"/>
    <w:rsid w:val="005954BA"/>
    <w:rsid w:val="005958CA"/>
    <w:rsid w:val="005967FA"/>
    <w:rsid w:val="00597166"/>
    <w:rsid w:val="00597EA2"/>
    <w:rsid w:val="005A19A1"/>
    <w:rsid w:val="005A30D0"/>
    <w:rsid w:val="005A6E77"/>
    <w:rsid w:val="005B4E88"/>
    <w:rsid w:val="005B6BC1"/>
    <w:rsid w:val="005C097D"/>
    <w:rsid w:val="005C5973"/>
    <w:rsid w:val="005C5DAB"/>
    <w:rsid w:val="005C5DCC"/>
    <w:rsid w:val="005C5E71"/>
    <w:rsid w:val="005D1E44"/>
    <w:rsid w:val="005E1C78"/>
    <w:rsid w:val="005E2158"/>
    <w:rsid w:val="005F1F19"/>
    <w:rsid w:val="005F2A19"/>
    <w:rsid w:val="00601259"/>
    <w:rsid w:val="00612322"/>
    <w:rsid w:val="0062236C"/>
    <w:rsid w:val="00630081"/>
    <w:rsid w:val="0063026A"/>
    <w:rsid w:val="006366DB"/>
    <w:rsid w:val="00640C6B"/>
    <w:rsid w:val="006536EC"/>
    <w:rsid w:val="00656064"/>
    <w:rsid w:val="0066461A"/>
    <w:rsid w:val="00664643"/>
    <w:rsid w:val="006647B5"/>
    <w:rsid w:val="006671B7"/>
    <w:rsid w:val="00675F2B"/>
    <w:rsid w:val="006772DA"/>
    <w:rsid w:val="00677DEF"/>
    <w:rsid w:val="006801F9"/>
    <w:rsid w:val="00683326"/>
    <w:rsid w:val="00684D22"/>
    <w:rsid w:val="00685492"/>
    <w:rsid w:val="006863D3"/>
    <w:rsid w:val="00692190"/>
    <w:rsid w:val="00692C64"/>
    <w:rsid w:val="006A2271"/>
    <w:rsid w:val="006A4EE8"/>
    <w:rsid w:val="006A654E"/>
    <w:rsid w:val="006B0672"/>
    <w:rsid w:val="006B07D3"/>
    <w:rsid w:val="006B3570"/>
    <w:rsid w:val="006C08CB"/>
    <w:rsid w:val="006C5D6D"/>
    <w:rsid w:val="006C6A40"/>
    <w:rsid w:val="006C7926"/>
    <w:rsid w:val="006D18E1"/>
    <w:rsid w:val="006E048D"/>
    <w:rsid w:val="006E41E2"/>
    <w:rsid w:val="006E7C38"/>
    <w:rsid w:val="006F560C"/>
    <w:rsid w:val="006F7E7C"/>
    <w:rsid w:val="007036B5"/>
    <w:rsid w:val="00705C16"/>
    <w:rsid w:val="00711DDB"/>
    <w:rsid w:val="00723B20"/>
    <w:rsid w:val="007273B2"/>
    <w:rsid w:val="00727654"/>
    <w:rsid w:val="007303E7"/>
    <w:rsid w:val="007343CF"/>
    <w:rsid w:val="0074182B"/>
    <w:rsid w:val="0074476C"/>
    <w:rsid w:val="00751093"/>
    <w:rsid w:val="007544A9"/>
    <w:rsid w:val="0075595A"/>
    <w:rsid w:val="00761CB7"/>
    <w:rsid w:val="007647BD"/>
    <w:rsid w:val="00764B1A"/>
    <w:rsid w:val="00765C3C"/>
    <w:rsid w:val="00774A26"/>
    <w:rsid w:val="007822A6"/>
    <w:rsid w:val="00784987"/>
    <w:rsid w:val="00784AE3"/>
    <w:rsid w:val="00785D47"/>
    <w:rsid w:val="00787455"/>
    <w:rsid w:val="007951F0"/>
    <w:rsid w:val="007956DD"/>
    <w:rsid w:val="007A1CD6"/>
    <w:rsid w:val="007A429B"/>
    <w:rsid w:val="007A5B9F"/>
    <w:rsid w:val="007B5819"/>
    <w:rsid w:val="007B6804"/>
    <w:rsid w:val="007B7F05"/>
    <w:rsid w:val="007C4B70"/>
    <w:rsid w:val="007D4309"/>
    <w:rsid w:val="007D5C45"/>
    <w:rsid w:val="007D611E"/>
    <w:rsid w:val="007D61FC"/>
    <w:rsid w:val="007D67A5"/>
    <w:rsid w:val="007E1EAA"/>
    <w:rsid w:val="007E2A2E"/>
    <w:rsid w:val="007E4D0F"/>
    <w:rsid w:val="007E7DB2"/>
    <w:rsid w:val="007F524C"/>
    <w:rsid w:val="00803EBF"/>
    <w:rsid w:val="00811CD3"/>
    <w:rsid w:val="00817ADF"/>
    <w:rsid w:val="00830946"/>
    <w:rsid w:val="00834A28"/>
    <w:rsid w:val="008364AF"/>
    <w:rsid w:val="00840BEE"/>
    <w:rsid w:val="00841170"/>
    <w:rsid w:val="0084337D"/>
    <w:rsid w:val="00843806"/>
    <w:rsid w:val="008448DF"/>
    <w:rsid w:val="00854A21"/>
    <w:rsid w:val="00854FE2"/>
    <w:rsid w:val="00855111"/>
    <w:rsid w:val="008564F6"/>
    <w:rsid w:val="008575B3"/>
    <w:rsid w:val="00857CA0"/>
    <w:rsid w:val="008633F9"/>
    <w:rsid w:val="00864810"/>
    <w:rsid w:val="0086B34E"/>
    <w:rsid w:val="00872184"/>
    <w:rsid w:val="008872BE"/>
    <w:rsid w:val="00892432"/>
    <w:rsid w:val="00897531"/>
    <w:rsid w:val="00897ECD"/>
    <w:rsid w:val="008A79F5"/>
    <w:rsid w:val="008B2E83"/>
    <w:rsid w:val="008C17BE"/>
    <w:rsid w:val="008C1AF3"/>
    <w:rsid w:val="008D0B4E"/>
    <w:rsid w:val="008D0D68"/>
    <w:rsid w:val="008D46E0"/>
    <w:rsid w:val="008E33B1"/>
    <w:rsid w:val="008E6C72"/>
    <w:rsid w:val="008F1EC3"/>
    <w:rsid w:val="008F3C24"/>
    <w:rsid w:val="008F428D"/>
    <w:rsid w:val="00903D4C"/>
    <w:rsid w:val="00904709"/>
    <w:rsid w:val="00934AA1"/>
    <w:rsid w:val="00936084"/>
    <w:rsid w:val="00944410"/>
    <w:rsid w:val="00952B12"/>
    <w:rsid w:val="00953182"/>
    <w:rsid w:val="00953614"/>
    <w:rsid w:val="009643D1"/>
    <w:rsid w:val="00970ADC"/>
    <w:rsid w:val="009752DA"/>
    <w:rsid w:val="009755CA"/>
    <w:rsid w:val="00975CEB"/>
    <w:rsid w:val="009901C5"/>
    <w:rsid w:val="009909E0"/>
    <w:rsid w:val="00993123"/>
    <w:rsid w:val="009A0E9A"/>
    <w:rsid w:val="009A1794"/>
    <w:rsid w:val="009A3A62"/>
    <w:rsid w:val="009B1DC4"/>
    <w:rsid w:val="009B4B9E"/>
    <w:rsid w:val="009B7278"/>
    <w:rsid w:val="009B7B4F"/>
    <w:rsid w:val="009C1A16"/>
    <w:rsid w:val="009C335B"/>
    <w:rsid w:val="009C39B6"/>
    <w:rsid w:val="009C441B"/>
    <w:rsid w:val="009D16E0"/>
    <w:rsid w:val="009D3AAC"/>
    <w:rsid w:val="009D3AED"/>
    <w:rsid w:val="009D5E19"/>
    <w:rsid w:val="009E3B22"/>
    <w:rsid w:val="009E5260"/>
    <w:rsid w:val="009E6429"/>
    <w:rsid w:val="009F1BBD"/>
    <w:rsid w:val="009F2A59"/>
    <w:rsid w:val="009F724B"/>
    <w:rsid w:val="00A03440"/>
    <w:rsid w:val="00A07899"/>
    <w:rsid w:val="00A25F2D"/>
    <w:rsid w:val="00A3341C"/>
    <w:rsid w:val="00A45AD0"/>
    <w:rsid w:val="00A46867"/>
    <w:rsid w:val="00A50624"/>
    <w:rsid w:val="00A5507F"/>
    <w:rsid w:val="00A574FE"/>
    <w:rsid w:val="00A7690D"/>
    <w:rsid w:val="00A90BDD"/>
    <w:rsid w:val="00A92C21"/>
    <w:rsid w:val="00A95167"/>
    <w:rsid w:val="00AA4BD9"/>
    <w:rsid w:val="00AB0892"/>
    <w:rsid w:val="00AB764B"/>
    <w:rsid w:val="00AB7981"/>
    <w:rsid w:val="00AB7ABF"/>
    <w:rsid w:val="00AC64A2"/>
    <w:rsid w:val="00AD1F30"/>
    <w:rsid w:val="00AD4922"/>
    <w:rsid w:val="00AD5B19"/>
    <w:rsid w:val="00AD7A4E"/>
    <w:rsid w:val="00AE0CFC"/>
    <w:rsid w:val="00AF1470"/>
    <w:rsid w:val="00B054CC"/>
    <w:rsid w:val="00B11413"/>
    <w:rsid w:val="00B1237E"/>
    <w:rsid w:val="00B21619"/>
    <w:rsid w:val="00B21CB4"/>
    <w:rsid w:val="00B22B1C"/>
    <w:rsid w:val="00B2643B"/>
    <w:rsid w:val="00B27F69"/>
    <w:rsid w:val="00B3379B"/>
    <w:rsid w:val="00B37EE1"/>
    <w:rsid w:val="00B41055"/>
    <w:rsid w:val="00B41799"/>
    <w:rsid w:val="00B4582A"/>
    <w:rsid w:val="00B5604C"/>
    <w:rsid w:val="00B5661F"/>
    <w:rsid w:val="00B61B0D"/>
    <w:rsid w:val="00B62C21"/>
    <w:rsid w:val="00B6359E"/>
    <w:rsid w:val="00B65981"/>
    <w:rsid w:val="00B6649D"/>
    <w:rsid w:val="00BA16F0"/>
    <w:rsid w:val="00BA2BE4"/>
    <w:rsid w:val="00BA2CC2"/>
    <w:rsid w:val="00BB3449"/>
    <w:rsid w:val="00BB34BA"/>
    <w:rsid w:val="00BC7F68"/>
    <w:rsid w:val="00BD03EC"/>
    <w:rsid w:val="00BD4A0D"/>
    <w:rsid w:val="00BE0460"/>
    <w:rsid w:val="00BE2B23"/>
    <w:rsid w:val="00BE729C"/>
    <w:rsid w:val="00BF220C"/>
    <w:rsid w:val="00BF273F"/>
    <w:rsid w:val="00BF38CC"/>
    <w:rsid w:val="00BF570A"/>
    <w:rsid w:val="00C02117"/>
    <w:rsid w:val="00C06E1C"/>
    <w:rsid w:val="00C11E3F"/>
    <w:rsid w:val="00C148C4"/>
    <w:rsid w:val="00C1763E"/>
    <w:rsid w:val="00C21B1A"/>
    <w:rsid w:val="00C22F03"/>
    <w:rsid w:val="00C24938"/>
    <w:rsid w:val="00C25020"/>
    <w:rsid w:val="00C25F9F"/>
    <w:rsid w:val="00C31991"/>
    <w:rsid w:val="00C33645"/>
    <w:rsid w:val="00C40813"/>
    <w:rsid w:val="00C47750"/>
    <w:rsid w:val="00C4784A"/>
    <w:rsid w:val="00C577F4"/>
    <w:rsid w:val="00C60171"/>
    <w:rsid w:val="00C62A88"/>
    <w:rsid w:val="00C6576A"/>
    <w:rsid w:val="00C702EC"/>
    <w:rsid w:val="00C70555"/>
    <w:rsid w:val="00C74914"/>
    <w:rsid w:val="00C90B59"/>
    <w:rsid w:val="00C91055"/>
    <w:rsid w:val="00C92F7B"/>
    <w:rsid w:val="00C955B5"/>
    <w:rsid w:val="00CA31C0"/>
    <w:rsid w:val="00CA3DA2"/>
    <w:rsid w:val="00CA4EBB"/>
    <w:rsid w:val="00CA7517"/>
    <w:rsid w:val="00CB106B"/>
    <w:rsid w:val="00CB63B1"/>
    <w:rsid w:val="00CB7019"/>
    <w:rsid w:val="00CB7EC9"/>
    <w:rsid w:val="00CC0593"/>
    <w:rsid w:val="00CC6DB5"/>
    <w:rsid w:val="00CD1937"/>
    <w:rsid w:val="00CD5D5A"/>
    <w:rsid w:val="00CE28D1"/>
    <w:rsid w:val="00CF6922"/>
    <w:rsid w:val="00CF753E"/>
    <w:rsid w:val="00D01D7A"/>
    <w:rsid w:val="00D054F4"/>
    <w:rsid w:val="00D05F65"/>
    <w:rsid w:val="00D06EC1"/>
    <w:rsid w:val="00D0760D"/>
    <w:rsid w:val="00D12F5F"/>
    <w:rsid w:val="00D133D2"/>
    <w:rsid w:val="00D1515F"/>
    <w:rsid w:val="00D20909"/>
    <w:rsid w:val="00D34067"/>
    <w:rsid w:val="00D344FC"/>
    <w:rsid w:val="00D34FFE"/>
    <w:rsid w:val="00D41D1E"/>
    <w:rsid w:val="00D43CD8"/>
    <w:rsid w:val="00D44473"/>
    <w:rsid w:val="00D44539"/>
    <w:rsid w:val="00D47622"/>
    <w:rsid w:val="00D579FC"/>
    <w:rsid w:val="00D60108"/>
    <w:rsid w:val="00D6085E"/>
    <w:rsid w:val="00D61232"/>
    <w:rsid w:val="00D62BAD"/>
    <w:rsid w:val="00D632F8"/>
    <w:rsid w:val="00D65812"/>
    <w:rsid w:val="00D73D57"/>
    <w:rsid w:val="00D766CB"/>
    <w:rsid w:val="00D83A88"/>
    <w:rsid w:val="00D84A2F"/>
    <w:rsid w:val="00D92F64"/>
    <w:rsid w:val="00D94035"/>
    <w:rsid w:val="00D947CE"/>
    <w:rsid w:val="00D9687B"/>
    <w:rsid w:val="00DA0468"/>
    <w:rsid w:val="00DA5186"/>
    <w:rsid w:val="00DA61CA"/>
    <w:rsid w:val="00DB6FE2"/>
    <w:rsid w:val="00DB7554"/>
    <w:rsid w:val="00DC0BC6"/>
    <w:rsid w:val="00DD18A5"/>
    <w:rsid w:val="00DD2E51"/>
    <w:rsid w:val="00DD2E53"/>
    <w:rsid w:val="00DD4A9F"/>
    <w:rsid w:val="00DF0A1A"/>
    <w:rsid w:val="00DF1448"/>
    <w:rsid w:val="00DF23C7"/>
    <w:rsid w:val="00DF3263"/>
    <w:rsid w:val="00DF433D"/>
    <w:rsid w:val="00DF56EF"/>
    <w:rsid w:val="00E00646"/>
    <w:rsid w:val="00E03377"/>
    <w:rsid w:val="00E05CD1"/>
    <w:rsid w:val="00E07991"/>
    <w:rsid w:val="00E14ACF"/>
    <w:rsid w:val="00E14DA4"/>
    <w:rsid w:val="00E25675"/>
    <w:rsid w:val="00E34013"/>
    <w:rsid w:val="00E34C8E"/>
    <w:rsid w:val="00E41D2B"/>
    <w:rsid w:val="00E42F17"/>
    <w:rsid w:val="00E54D9E"/>
    <w:rsid w:val="00E56B4A"/>
    <w:rsid w:val="00E6172F"/>
    <w:rsid w:val="00E64EC5"/>
    <w:rsid w:val="00E65F48"/>
    <w:rsid w:val="00E67BFD"/>
    <w:rsid w:val="00E807C4"/>
    <w:rsid w:val="00E85AAE"/>
    <w:rsid w:val="00E868FB"/>
    <w:rsid w:val="00E943B8"/>
    <w:rsid w:val="00E94742"/>
    <w:rsid w:val="00E94BF5"/>
    <w:rsid w:val="00EA041C"/>
    <w:rsid w:val="00EA0BBD"/>
    <w:rsid w:val="00EB10B6"/>
    <w:rsid w:val="00EB481C"/>
    <w:rsid w:val="00EC22D5"/>
    <w:rsid w:val="00EC2FA4"/>
    <w:rsid w:val="00EC3D78"/>
    <w:rsid w:val="00ED3B63"/>
    <w:rsid w:val="00ED3DF3"/>
    <w:rsid w:val="00ED6EED"/>
    <w:rsid w:val="00EE028C"/>
    <w:rsid w:val="00EE51BF"/>
    <w:rsid w:val="00EF3A0C"/>
    <w:rsid w:val="00EF4CD5"/>
    <w:rsid w:val="00EF6DBD"/>
    <w:rsid w:val="00F05846"/>
    <w:rsid w:val="00F06C21"/>
    <w:rsid w:val="00F07E57"/>
    <w:rsid w:val="00F10902"/>
    <w:rsid w:val="00F110C7"/>
    <w:rsid w:val="00F16BF5"/>
    <w:rsid w:val="00F21B30"/>
    <w:rsid w:val="00F23C48"/>
    <w:rsid w:val="00F240FF"/>
    <w:rsid w:val="00F424CA"/>
    <w:rsid w:val="00F4274E"/>
    <w:rsid w:val="00F47B35"/>
    <w:rsid w:val="00F503E8"/>
    <w:rsid w:val="00F5126D"/>
    <w:rsid w:val="00F6747D"/>
    <w:rsid w:val="00F71718"/>
    <w:rsid w:val="00F751E6"/>
    <w:rsid w:val="00F7679E"/>
    <w:rsid w:val="00F8069A"/>
    <w:rsid w:val="00F81283"/>
    <w:rsid w:val="00F8793D"/>
    <w:rsid w:val="00FA5959"/>
    <w:rsid w:val="00FB3BBF"/>
    <w:rsid w:val="00FB5C37"/>
    <w:rsid w:val="00FC14AB"/>
    <w:rsid w:val="00FC5033"/>
    <w:rsid w:val="00FD154B"/>
    <w:rsid w:val="00FD2B98"/>
    <w:rsid w:val="00FF1A34"/>
    <w:rsid w:val="00FF3A6C"/>
    <w:rsid w:val="0AB95F0A"/>
    <w:rsid w:val="213881A3"/>
    <w:rsid w:val="42F2944D"/>
    <w:rsid w:val="46D6356D"/>
    <w:rsid w:val="63768FC5"/>
    <w:rsid w:val="69826AA5"/>
    <w:rsid w:val="778D5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5BC00"/>
  <w15:chartTrackingRefBased/>
  <w15:docId w15:val="{6569DBC4-3F72-4598-ADA8-65A2B63C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645"/>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1A"/>
  </w:style>
  <w:style w:type="paragraph" w:styleId="Footer">
    <w:name w:val="footer"/>
    <w:basedOn w:val="Normal"/>
    <w:link w:val="FooterChar"/>
    <w:uiPriority w:val="99"/>
    <w:unhideWhenUsed/>
    <w:rsid w:val="0013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1A"/>
  </w:style>
  <w:style w:type="character" w:customStyle="1" w:styleId="Heading1Char">
    <w:name w:val="Heading 1 Char"/>
    <w:basedOn w:val="DefaultParagraphFont"/>
    <w:link w:val="Heading1"/>
    <w:uiPriority w:val="9"/>
    <w:rsid w:val="00132F1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B24FF"/>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24FF"/>
    <w:rPr>
      <w:color w:val="0563C1" w:themeColor="hyperlink"/>
      <w:u w:val="single"/>
    </w:rPr>
  </w:style>
  <w:style w:type="character" w:styleId="UnresolvedMention">
    <w:name w:val="Unresolved Mention"/>
    <w:basedOn w:val="DefaultParagraphFont"/>
    <w:uiPriority w:val="99"/>
    <w:semiHidden/>
    <w:unhideWhenUsed/>
    <w:rsid w:val="001B24FF"/>
    <w:rPr>
      <w:color w:val="605E5C"/>
      <w:shd w:val="clear" w:color="auto" w:fill="E1DFDD"/>
    </w:rPr>
  </w:style>
  <w:style w:type="character" w:customStyle="1" w:styleId="Heading2Char">
    <w:name w:val="Heading 2 Char"/>
    <w:basedOn w:val="DefaultParagraphFont"/>
    <w:link w:val="Heading2"/>
    <w:uiPriority w:val="9"/>
    <w:rsid w:val="00C336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4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24FF"/>
    <w:pPr>
      <w:ind w:left="720"/>
      <w:contextualSpacing/>
    </w:pPr>
  </w:style>
  <w:style w:type="paragraph" w:styleId="BalloonText">
    <w:name w:val="Balloon Text"/>
    <w:basedOn w:val="Normal"/>
    <w:link w:val="BalloonTextChar"/>
    <w:uiPriority w:val="99"/>
    <w:semiHidden/>
    <w:unhideWhenUsed/>
    <w:rsid w:val="00ED3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B63"/>
    <w:rPr>
      <w:rFonts w:ascii="Segoe UI" w:hAnsi="Segoe UI" w:cs="Segoe UI"/>
      <w:sz w:val="18"/>
      <w:szCs w:val="18"/>
    </w:rPr>
  </w:style>
  <w:style w:type="character" w:styleId="CommentReference">
    <w:name w:val="annotation reference"/>
    <w:basedOn w:val="DefaultParagraphFont"/>
    <w:uiPriority w:val="99"/>
    <w:semiHidden/>
    <w:unhideWhenUsed/>
    <w:rsid w:val="00575D47"/>
    <w:rPr>
      <w:sz w:val="16"/>
      <w:szCs w:val="16"/>
    </w:rPr>
  </w:style>
  <w:style w:type="paragraph" w:styleId="CommentText">
    <w:name w:val="annotation text"/>
    <w:basedOn w:val="Normal"/>
    <w:link w:val="CommentTextChar"/>
    <w:uiPriority w:val="99"/>
    <w:semiHidden/>
    <w:unhideWhenUsed/>
    <w:rsid w:val="00575D47"/>
    <w:pPr>
      <w:spacing w:line="240" w:lineRule="auto"/>
    </w:pPr>
    <w:rPr>
      <w:sz w:val="20"/>
      <w:szCs w:val="20"/>
    </w:rPr>
  </w:style>
  <w:style w:type="character" w:customStyle="1" w:styleId="CommentTextChar">
    <w:name w:val="Comment Text Char"/>
    <w:basedOn w:val="DefaultParagraphFont"/>
    <w:link w:val="CommentText"/>
    <w:uiPriority w:val="99"/>
    <w:semiHidden/>
    <w:rsid w:val="00575D47"/>
    <w:rPr>
      <w:sz w:val="20"/>
      <w:szCs w:val="20"/>
    </w:rPr>
  </w:style>
  <w:style w:type="paragraph" w:styleId="CommentSubject">
    <w:name w:val="annotation subject"/>
    <w:basedOn w:val="CommentText"/>
    <w:next w:val="CommentText"/>
    <w:link w:val="CommentSubjectChar"/>
    <w:uiPriority w:val="99"/>
    <w:semiHidden/>
    <w:unhideWhenUsed/>
    <w:rsid w:val="00575D47"/>
    <w:rPr>
      <w:b/>
      <w:bCs/>
    </w:rPr>
  </w:style>
  <w:style w:type="character" w:customStyle="1" w:styleId="CommentSubjectChar">
    <w:name w:val="Comment Subject Char"/>
    <w:basedOn w:val="CommentTextChar"/>
    <w:link w:val="CommentSubject"/>
    <w:uiPriority w:val="99"/>
    <w:semiHidden/>
    <w:rsid w:val="00575D47"/>
    <w:rPr>
      <w:b/>
      <w:bCs/>
      <w:sz w:val="20"/>
      <w:szCs w:val="20"/>
    </w:rPr>
  </w:style>
  <w:style w:type="paragraph" w:styleId="FootnoteText">
    <w:name w:val="footnote text"/>
    <w:basedOn w:val="Normal"/>
    <w:link w:val="FootnoteTextChar"/>
    <w:uiPriority w:val="99"/>
    <w:semiHidden/>
    <w:unhideWhenUsed/>
    <w:rsid w:val="000210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0A7"/>
    <w:rPr>
      <w:sz w:val="20"/>
      <w:szCs w:val="20"/>
    </w:rPr>
  </w:style>
  <w:style w:type="character" w:styleId="FootnoteReference">
    <w:name w:val="footnote reference"/>
    <w:basedOn w:val="DefaultParagraphFont"/>
    <w:uiPriority w:val="99"/>
    <w:semiHidden/>
    <w:unhideWhenUsed/>
    <w:rsid w:val="000210A7"/>
    <w:rPr>
      <w:vertAlign w:val="superscript"/>
    </w:rPr>
  </w:style>
  <w:style w:type="character" w:styleId="FollowedHyperlink">
    <w:name w:val="FollowedHyperlink"/>
    <w:basedOn w:val="DefaultParagraphFont"/>
    <w:uiPriority w:val="99"/>
    <w:semiHidden/>
    <w:unhideWhenUsed/>
    <w:rsid w:val="000B5743"/>
    <w:rPr>
      <w:color w:val="954F72" w:themeColor="followedHyperlink"/>
      <w:u w:val="single"/>
    </w:rPr>
  </w:style>
  <w:style w:type="paragraph" w:styleId="Revision">
    <w:name w:val="Revision"/>
    <w:hidden/>
    <w:uiPriority w:val="99"/>
    <w:semiHidden/>
    <w:rsid w:val="00AD5B19"/>
    <w:pPr>
      <w:spacing w:after="0" w:line="240" w:lineRule="auto"/>
    </w:pPr>
  </w:style>
  <w:style w:type="character" w:styleId="PageNumber">
    <w:name w:val="page number"/>
    <w:basedOn w:val="DefaultParagraphFont"/>
    <w:uiPriority w:val="99"/>
    <w:semiHidden/>
    <w:unhideWhenUsed/>
    <w:rsid w:val="00D61232"/>
  </w:style>
  <w:style w:type="paragraph" w:styleId="NoSpacing">
    <w:name w:val="No Spacing"/>
    <w:uiPriority w:val="1"/>
    <w:qFormat/>
    <w:rsid w:val="00D6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932636">
      <w:bodyDiv w:val="1"/>
      <w:marLeft w:val="0"/>
      <w:marRight w:val="0"/>
      <w:marTop w:val="0"/>
      <w:marBottom w:val="0"/>
      <w:divBdr>
        <w:top w:val="none" w:sz="0" w:space="0" w:color="auto"/>
        <w:left w:val="none" w:sz="0" w:space="0" w:color="auto"/>
        <w:bottom w:val="none" w:sz="0" w:space="0" w:color="auto"/>
        <w:right w:val="none" w:sz="0" w:space="0" w:color="auto"/>
      </w:divBdr>
      <w:divsChild>
        <w:div w:id="557978697">
          <w:marLeft w:val="0"/>
          <w:marRight w:val="0"/>
          <w:marTop w:val="0"/>
          <w:marBottom w:val="0"/>
          <w:divBdr>
            <w:top w:val="none" w:sz="0" w:space="0" w:color="auto"/>
            <w:left w:val="none" w:sz="0" w:space="0" w:color="auto"/>
            <w:bottom w:val="none" w:sz="0" w:space="0" w:color="auto"/>
            <w:right w:val="none" w:sz="0" w:space="0" w:color="auto"/>
          </w:divBdr>
        </w:div>
      </w:divsChild>
    </w:div>
    <w:div w:id="1170288760">
      <w:bodyDiv w:val="1"/>
      <w:marLeft w:val="0"/>
      <w:marRight w:val="0"/>
      <w:marTop w:val="0"/>
      <w:marBottom w:val="0"/>
      <w:divBdr>
        <w:top w:val="none" w:sz="0" w:space="0" w:color="auto"/>
        <w:left w:val="none" w:sz="0" w:space="0" w:color="auto"/>
        <w:bottom w:val="none" w:sz="0" w:space="0" w:color="auto"/>
        <w:right w:val="none" w:sz="0" w:space="0" w:color="auto"/>
      </w:divBdr>
    </w:div>
    <w:div w:id="1267731889">
      <w:bodyDiv w:val="1"/>
      <w:marLeft w:val="0"/>
      <w:marRight w:val="0"/>
      <w:marTop w:val="0"/>
      <w:marBottom w:val="0"/>
      <w:divBdr>
        <w:top w:val="none" w:sz="0" w:space="0" w:color="auto"/>
        <w:left w:val="none" w:sz="0" w:space="0" w:color="auto"/>
        <w:bottom w:val="none" w:sz="0" w:space="0" w:color="auto"/>
        <w:right w:val="none" w:sz="0" w:space="0" w:color="auto"/>
      </w:divBdr>
      <w:divsChild>
        <w:div w:id="749933962">
          <w:marLeft w:val="0"/>
          <w:marRight w:val="0"/>
          <w:marTop w:val="0"/>
          <w:marBottom w:val="0"/>
          <w:divBdr>
            <w:top w:val="none" w:sz="0" w:space="0" w:color="auto"/>
            <w:left w:val="none" w:sz="0" w:space="0" w:color="auto"/>
            <w:bottom w:val="none" w:sz="0" w:space="0" w:color="auto"/>
            <w:right w:val="none" w:sz="0" w:space="0" w:color="auto"/>
          </w:divBdr>
        </w:div>
      </w:divsChild>
    </w:div>
    <w:div w:id="1801068568">
      <w:bodyDiv w:val="1"/>
      <w:marLeft w:val="0"/>
      <w:marRight w:val="0"/>
      <w:marTop w:val="0"/>
      <w:marBottom w:val="0"/>
      <w:divBdr>
        <w:top w:val="none" w:sz="0" w:space="0" w:color="auto"/>
        <w:left w:val="none" w:sz="0" w:space="0" w:color="auto"/>
        <w:bottom w:val="none" w:sz="0" w:space="0" w:color="auto"/>
        <w:right w:val="none" w:sz="0" w:space="0" w:color="auto"/>
      </w:divBdr>
    </w:div>
    <w:div w:id="20659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itovation.com/plethem"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plethem@scitovation.com" TargetMode="External"/><Relationship Id="rId17" Type="http://schemas.openxmlformats.org/officeDocument/2006/relationships/hyperlink" Target="https://scitovation.sharepoint.com/:u:/g/EY1N4aHhvGRJkjdazVeQBFsBlZ5wV6I4VFu-NRRA9tfom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tovation.com/plethem"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tovation-my.sharepoint.com/:u:/p/spendse/EQc87XMV20FFgIMAoHJA2P0BUZAh2PUmYkKv61vkYi55Wg?e=vM6QgE"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lethem@scitovation.com"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C70FD383EBCD841B8B52BA67E19AF93" ma:contentTypeVersion="11" ma:contentTypeDescription="Create a new document." ma:contentTypeScope="" ma:versionID="6753494d47f699bf2600bee6f2e441ae">
  <xsd:schema xmlns:xsd="http://www.w3.org/2001/XMLSchema" xmlns:xs="http://www.w3.org/2001/XMLSchema" xmlns:p="http://schemas.microsoft.com/office/2006/metadata/properties" xmlns:ns2="fcb9c5ef-bc95-4fb3-92f7-114e024674b4" xmlns:ns3="9b7e61d5-bfad-4caf-91f1-529accd5d73b" targetNamespace="http://schemas.microsoft.com/office/2006/metadata/properties" ma:root="true" ma:fieldsID="080a4c93cdfacac7a1579b20dff33453" ns2:_="" ns3:_="">
    <xsd:import namespace="fcb9c5ef-bc95-4fb3-92f7-114e024674b4"/>
    <xsd:import namespace="9b7e61d5-bfad-4caf-91f1-529accd5d7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9c5ef-bc95-4fb3-92f7-114e0246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7e61d5-bfad-4caf-91f1-529accd5d73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0F21B-69B6-41D3-9C65-4EDA5E14FC2A}">
  <ds:schemaRefs>
    <ds:schemaRef ds:uri="http://schemas.microsoft.com/sharepoint/v3/contenttype/forms"/>
  </ds:schemaRefs>
</ds:datastoreItem>
</file>

<file path=customXml/itemProps2.xml><?xml version="1.0" encoding="utf-8"?>
<ds:datastoreItem xmlns:ds="http://schemas.openxmlformats.org/officeDocument/2006/customXml" ds:itemID="{2938DBC8-8645-4A73-BE96-DCD983BA0D7D}">
  <ds:schemaRefs>
    <ds:schemaRef ds:uri="http://schemas.openxmlformats.org/officeDocument/2006/bibliography"/>
  </ds:schemaRefs>
</ds:datastoreItem>
</file>

<file path=customXml/itemProps3.xml><?xml version="1.0" encoding="utf-8"?>
<ds:datastoreItem xmlns:ds="http://schemas.openxmlformats.org/officeDocument/2006/customXml" ds:itemID="{9428BEC2-23CB-42CD-A9CB-EEB78E53E2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DAE9B6-4CA2-4490-BC04-4E1470C75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9c5ef-bc95-4fb3-92f7-114e024674b4"/>
    <ds:schemaRef ds:uri="9b7e61d5-bfad-4caf-91f1-529accd5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Links>
    <vt:vector size="12" baseType="variant">
      <vt:variant>
        <vt:i4>3997801</vt:i4>
      </vt:variant>
      <vt:variant>
        <vt:i4>3</vt:i4>
      </vt:variant>
      <vt:variant>
        <vt:i4>0</vt:i4>
      </vt:variant>
      <vt:variant>
        <vt:i4>5</vt:i4>
      </vt:variant>
      <vt:variant>
        <vt:lpwstr>https://scitovation.sharepoint.com/:u:/g/EY1N4aHhvGRJkjdazVeQBFsBlZ5wV6I4VFu-NRRA9tfomA</vt:lpwstr>
      </vt:variant>
      <vt:variant>
        <vt:lpwstr/>
      </vt:variant>
      <vt:variant>
        <vt:i4>2293807</vt:i4>
      </vt:variant>
      <vt:variant>
        <vt:i4>0</vt:i4>
      </vt:variant>
      <vt:variant>
        <vt:i4>0</vt:i4>
      </vt:variant>
      <vt:variant>
        <vt:i4>5</vt:i4>
      </vt:variant>
      <vt:variant>
        <vt:lpwstr>https://scitovation-my.sharepoint.com/:u:/p/spendse/EQc87XMV20FFgIMAoHJA2P0BUZAh2PUmYkKv61vkYi55Wg?e=vM6QgE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Pendse</dc:creator>
  <cp:keywords/>
  <dc:description/>
  <cp:lastModifiedBy>Patrick McMullen</cp:lastModifiedBy>
  <cp:revision>51</cp:revision>
  <dcterms:created xsi:type="dcterms:W3CDTF">2020-07-29T17:06:00Z</dcterms:created>
  <dcterms:modified xsi:type="dcterms:W3CDTF">2020-09-17T19:08:00Z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0x0101003C70FD383EBCD841B8B52BA67E19AF93</vt:lpwstr>
  </property>
</Properties>
</file>