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Pakistan and India agree to ceasefire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Pakistan and India have announced a ceasefire, amid claims by both sides of violations. The two nuclear-armed neighbours have come close to all-out war in recent weeks. This is because of an attack on a tourist sight in India-controlled Kashmir on the 22nd of April, which left 26 civilians dead. India blamed Pakistan for instigating the attack. Pakistan vociferously denied the allegations. Both countries have launched military strikes on each other since the attack. Pakistan said it targeted military sites in India after India fired missiles at air bases in Pakistan's Punjab province on Saturday. This fuelled fears that tensions might escalate into a more dangerous regional conflict.</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ceasefire is looking somewhat fragile as both sides are accusing each other of violating it. Pakistan's foreign ministry said the country "remains committed to a faithful implementation of the ceasefire". A spokesman for India's military denied accusations that India was not adhering to the truce. He said India would retaliate if its territory was attacked. He warned: "We remain fully operationally ready to launch whatever operations may be required in defence of the nation". U.S. President Donald Trump announced the ceasefire followed talks mediated by the United States. The U.S. "urged both parties to find ways to de-escalate and offered assistance in starting constructive talks".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India and Pakistan come close to?</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was there an attack in which 26 people died?</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Pakistan do about allegations it carried out the attacks?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are the air bases that Pakistan said were hit by Indian missiles?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are there fears that increasing tensions might fuel?</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did the article say the ceasefire is looking?</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Pakistan claim India was not adhering to?</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India say it would do if it were attacked?</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did Donald Trump say the talks were mediated by?</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USA urge both parties to do?</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India-Pakistan ceasefire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