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BÀI TẬP TỔNG HỢP – CHIẾN LƯỢC TÌM KIẾM TÀI LIỆU &amp; TỔNG QUAN NGHIÊN CỨU</w:t>
      </w:r>
    </w:p>
    <w:p>
      <w:pPr>
        <w:jc w:val="both"/>
      </w:pPr>
      <w:r>
        <w:rPr>
          <w:b/>
        </w:rPr>
        <w:t>Chủ đề nghiên cứu:</w:t>
      </w:r>
      <w:r>
        <w:t xml:space="preserve"> </w:t>
      </w:r>
      <w:r>
        <w:rPr>
          <w:i/>
        </w:rPr>
        <w:t>Các yếu tố ảnh hưởng đến việc sinh viên sử dụng phương thức thanh toán số (Factors affecting students' use of digital payment methods).</w:t>
      </w:r>
    </w:p>
    <w:p>
      <w:pPr>
        <w:pStyle w:val="Heading2"/>
      </w:pPr>
      <w:r>
        <w:t>TASK 1 – CHIẾN LƯỢC TÌM KIẾM TÀI LIỆU (≈ 350 từ)</w:t>
      </w:r>
    </w:p>
    <w:p>
      <w:pPr>
        <w:pStyle w:val="Heading3"/>
      </w:pPr>
      <w:r>
        <w:t>1.1. Giải thích chủ đề nghiên cứu bằng lời của em</w:t>
      </w:r>
    </w:p>
    <w:p>
      <w:pPr>
        <w:jc w:val="both"/>
      </w:pPr>
      <w:r>
        <w:t>Thanh toán số (digital payment) là hình thức thanh toán không sử dụng tiền mặt, trong đó việc chuyển và nhận tiền được thực hiện thông qua các nền tảng điện tử như ứng dụng ngân hàng di động (mobile banking), ví điện tử (e-wallet như MoMo, ZaloPay, ShopeePay, VNPay), thẻ tín dụng/ghi nợ và các mã QR thanh toán. Người dùng chỉ cần một thiết bị thông minh có kết nối Internet là có thể thực hiện giao dịch ở bất cứ đâu và bất cứ lúc nào.</w:t>
      </w:r>
    </w:p>
    <w:p>
      <w:pPr>
        <w:jc w:val="both"/>
      </w:pPr>
      <w:r>
        <w:t>Việc sinh viên sử dụng thanh toán số có ý nghĩa đặc biệt quan trọng trong hệ thống tài chính hiện đại vì: (i) sinh viên là nhóm trẻ, am hiểu công nghệ và là khách hàng tiềm năng dài hạn của các tổ chức tài chính; (ii) hành vi thanh toán hình thành ở giai đoạn này sẽ ảnh hưởng đến thói quen tài chính của họ trong tương lai; (iii) sự chấp nhận của sinh viên là một chỉ báo quan trọng cho tốc độ chuyển đổi sang nền kinh tế không tiền mặt mà nhiều quốc gia, trong đó có Việt Nam, đang theo đuổi. Nghiên cứu các yếu tố tác động đến hành vi này giúp ngân hàng, nhà cung cấp ví điện tử và cơ quan quản lý đưa ra chính sách phù hợp để thúc đẩy tài chính số.</w:t>
      </w:r>
    </w:p>
    <w:p>
      <w:pPr>
        <w:pStyle w:val="Heading3"/>
      </w:pPr>
      <w:r>
        <w:t>1.2. Năm đến bảy từ khóa liên quan đến chủ đề</w:t>
      </w:r>
    </w:p>
    <w:p>
      <w:pPr>
        <w:pStyle w:val="ListNumber"/>
      </w:pPr>
      <w:r>
        <w:t>digital payment (thanh toán số)</w:t>
      </w:r>
    </w:p>
    <w:p>
      <w:pPr>
        <w:pStyle w:val="ListNumber"/>
      </w:pPr>
      <w:r>
        <w:t>mobile payment (thanh toán di động)</w:t>
      </w:r>
    </w:p>
    <w:p>
      <w:pPr>
        <w:pStyle w:val="ListNumber"/>
      </w:pPr>
      <w:r>
        <w:t>e-wallet (ví điện tử)</w:t>
      </w:r>
    </w:p>
    <w:p>
      <w:pPr>
        <w:pStyle w:val="ListNumber"/>
      </w:pPr>
      <w:r>
        <w:t>cashless payment (thanh toán không tiền mặt)</w:t>
      </w:r>
    </w:p>
    <w:p>
      <w:pPr>
        <w:pStyle w:val="ListNumber"/>
      </w:pPr>
      <w:r>
        <w:t>financial technology / FinTech</w:t>
      </w:r>
    </w:p>
    <w:p>
      <w:pPr>
        <w:pStyle w:val="ListNumber"/>
      </w:pPr>
      <w:r>
        <w:t>student payment behavior (hành vi thanh toán của sinh viên)</w:t>
      </w:r>
    </w:p>
    <w:p>
      <w:pPr>
        <w:pStyle w:val="ListNumber"/>
      </w:pPr>
      <w:r>
        <w:t>Technology Acceptance Model (TAM – mô hình chấp nhận công nghệ)</w:t>
      </w:r>
    </w:p>
    <w:p>
      <w:pPr>
        <w:pStyle w:val="Heading3"/>
      </w:pPr>
      <w:r>
        <w:t>1.3. Hai nguồn tìm kiếm phù hợp</w:t>
      </w:r>
    </w:p>
    <w:p>
      <w:pPr>
        <w:pStyle w:val="ListBullet"/>
      </w:pPr>
      <w:r>
        <w:rPr>
          <w:b/>
        </w:rPr>
        <w:t>Google Scholar (scholar.google.com):</w:t>
      </w:r>
      <w:r>
        <w:t xml:space="preserve"> đây là công cụ tìm kiếm học thuật miễn phí, bao phủ rộng các tạp chí quốc tế, kỷ yếu hội thảo và luận văn. Google Scholar phù hợp vì cho phép lọc theo năm xuất bản, hiển thị số lần trích dẫn và liên kết tới bản PDF toàn văn, giúp đánh giá nhanh độ tin cậy của một nghiên cứu.</w:t>
      </w:r>
    </w:p>
    <w:p>
      <w:pPr>
        <w:pStyle w:val="ListBullet"/>
      </w:pPr>
      <w:r>
        <w:rPr>
          <w:b/>
        </w:rPr>
        <w:t>Cơ sở dữ liệu thư viện trường đại học (ví dụ ScienceDirect, Emerald, ProQuest hoặc thư viện số nội bộ):</w:t>
      </w:r>
      <w:r>
        <w:t xml:space="preserve"> cho phép truy cập các tạp chí có bình duyệt (peer-reviewed) mà sinh viên thường không tải miễn phí được trên Google. Đây là nguồn đảm bảo chất lượng học thuật, có chỉ mục Scopus/Web of Science.</w:t>
      </w:r>
    </w:p>
    <w:p>
      <w:pPr>
        <w:pStyle w:val="Heading3"/>
      </w:pPr>
      <w:r>
        <w:t>1.4. Giới hạn tìm kiếm cơ bản</w:t>
      </w:r>
    </w:p>
    <w:p>
      <w:pPr>
        <w:pStyle w:val="ListBullet"/>
      </w:pPr>
      <w:r>
        <w:rPr>
          <w:b/>
        </w:rPr>
        <w:t>Khoảng thời gian xuất bản:</w:t>
      </w:r>
      <w:r>
        <w:t xml:space="preserve"> 2019 – 2024 để đảm bảo dữ liệu cập nhật, phản ánh giai đoạn bùng nổ ví điện tử và ảnh hưởng của Covid‑19.</w:t>
      </w:r>
    </w:p>
    <w:p>
      <w:pPr>
        <w:pStyle w:val="ListBullet"/>
      </w:pPr>
      <w:r>
        <w:rPr>
          <w:b/>
        </w:rPr>
        <w:t>Ngôn ngữ:</w:t>
      </w:r>
      <w:r>
        <w:t xml:space="preserve"> Tiếng Anh.</w:t>
      </w:r>
    </w:p>
    <w:p>
      <w:pPr>
        <w:pStyle w:val="ListBullet"/>
      </w:pPr>
      <w:r>
        <w:rPr>
          <w:b/>
        </w:rPr>
        <w:t>Loại tài liệu:</w:t>
      </w:r>
      <w:r>
        <w:t xml:space="preserve"> bài báo trên tạp chí khoa học (journal article) và bài tổng quan (review paper); loại trừ blog, báo điện tử, trang web thương mại.</w:t>
      </w:r>
    </w:p>
    <w:p>
      <w:pPr>
        <w:pStyle w:val="ListBullet"/>
      </w:pPr>
      <w:r>
        <w:rPr>
          <w:b/>
        </w:rPr>
        <w:t>Đối tượng nghiên cứu:</w:t>
      </w:r>
      <w:r>
        <w:t xml:space="preserve"> sinh viên đại học (university / college students).</w:t>
      </w:r>
    </w:p>
    <w:p>
      <w:pPr>
        <w:pStyle w:val="Heading2"/>
      </w:pPr>
      <w:r>
        <w:t>TASK 2 – TIẾN HÀNH TÌM KIẾM TÀI LIỆU</w:t>
      </w:r>
    </w:p>
    <w:p>
      <w:pPr>
        <w:jc w:val="both"/>
      </w:pPr>
      <w:r>
        <w:t>Sử dụng chiến lược ở Task 1, em đã tìm trên Google Scholar với chuỗi tìm kiếm: `("digital payment" OR "e-wallet" OR "mobile payment") AND ("university students" OR "college students") AND (factors OR determinants OR behavior)`</w:t>
      </w:r>
    </w:p>
    <w:p>
      <w:pPr>
        <w:jc w:val="both"/>
      </w:pPr>
      <w:r>
        <w:t xml:space="preserve">Em chọn được </w:t>
      </w:r>
      <w:r>
        <w:rPr>
          <w:b/>
        </w:rPr>
        <w:t>3 bài báo khoa học</w:t>
      </w:r>
      <w:r>
        <w:t xml:space="preserve"> sau (tất cả đều là bài đăng trên tạp chí có bình duyệt):</w:t>
      </w:r>
    </w:p>
    <w:p>
      <w:pPr>
        <w:pStyle w:val="Heading3"/>
      </w:pPr>
      <w:r>
        <w:t>2.4. Bảng tổng hợp các nghiên cứu</w:t>
      </w:r>
    </w:p>
    <w:tbl>
      <w:tblPr>
        <w:tblW w:type="auto" w:w="0"/>
        <w:tblLayout w:type="autofit"/>
        <w:tblLook w:firstColumn="1" w:firstRow="1" w:lastColumn="0" w:lastRow="0" w:noHBand="0" w:noVBand="1" w:val="04A0"/>
      </w:tblPr>
      <w:tblGrid>
        <w:gridCol w:w="3135"/>
        <w:gridCol w:w="3135"/>
        <w:gridCol w:w="3135"/>
      </w:tblGrid>
      <w:tr>
        <w:tc>
          <w:tcPr>
            <w:tcW w:type="dxa" w:w="3135"/>
            <w:shd w:val="clear" w:color="auto" w:fill="E6E6E6"/>
            <w:tcBorders>
              <w:top w:val="single" w:sz="4" w:color="808080"/>
              <w:left w:val="single" w:sz="4" w:color="808080"/>
              <w:bottom w:val="single" w:sz="4" w:color="808080"/>
              <w:right w:val="single" w:sz="4" w:color="808080"/>
            </w:tcBorders>
          </w:tcPr>
          <w:p>
            <w:r>
              <w:rPr>
                <w:b/>
              </w:rPr>
            </w:r>
            <w:r>
              <w:rPr>
                <w:b/>
              </w:rPr>
              <w:t>Tác giả &amp; năm</w:t>
            </w:r>
          </w:p>
        </w:tc>
        <w:tc>
          <w:tcPr>
            <w:tcW w:type="dxa" w:w="3135"/>
            <w:shd w:val="clear" w:color="auto" w:fill="E6E6E6"/>
            <w:tcBorders>
              <w:top w:val="single" w:sz="4" w:color="808080"/>
              <w:left w:val="single" w:sz="4" w:color="808080"/>
              <w:bottom w:val="single" w:sz="4" w:color="808080"/>
              <w:right w:val="single" w:sz="4" w:color="808080"/>
            </w:tcBorders>
          </w:tcPr>
          <w:p>
            <w:r>
              <w:rPr>
                <w:b/>
              </w:rPr>
            </w:r>
            <w:r>
              <w:rPr>
                <w:b/>
              </w:rPr>
              <w:t>Mục đích nghiên cứu</w:t>
            </w:r>
          </w:p>
        </w:tc>
        <w:tc>
          <w:tcPr>
            <w:tcW w:type="dxa" w:w="3135"/>
            <w:shd w:val="clear" w:color="auto" w:fill="E6E6E6"/>
            <w:tcBorders>
              <w:top w:val="single" w:sz="4" w:color="808080"/>
              <w:left w:val="single" w:sz="4" w:color="808080"/>
              <w:bottom w:val="single" w:sz="4" w:color="808080"/>
              <w:right w:val="single" w:sz="4" w:color="808080"/>
            </w:tcBorders>
          </w:tcPr>
          <w:p>
            <w:r>
              <w:rPr>
                <w:b/>
              </w:rPr>
            </w:r>
            <w:r>
              <w:rPr>
                <w:b/>
              </w:rPr>
              <w:t>Kết quả chính</w:t>
            </w:r>
          </w:p>
        </w:tc>
      </w:tr>
      <w:tr>
        <w:tc>
          <w:tcPr>
            <w:tcW w:type="dxa" w:w="3135"/>
            <w:tcBorders>
              <w:top w:val="single" w:sz="4" w:color="808080"/>
              <w:left w:val="single" w:sz="4" w:color="808080"/>
              <w:bottom w:val="single" w:sz="4" w:color="808080"/>
              <w:right w:val="single" w:sz="4" w:color="808080"/>
            </w:tcBorders>
          </w:tcPr>
          <w:p>
            <w:r/>
            <w:r>
              <w:rPr>
                <w:b/>
              </w:rPr>
              <w:t>Afriani, S. &amp; Yanti, R. T. (2023).</w:t>
            </w:r>
            <w:r>
              <w:t xml:space="preserve"> </w:t>
            </w:r>
            <w:r>
              <w:rPr>
                <w:i/>
              </w:rPr>
              <w:t>The Influence of Digital Payment on Consumptive Behavior (Case Study Students of the Faculty Economics, UNIVED Bengkulu). International Journal of Economics, Business and Accounting Research (IJEBAR), 7(1).</w:t>
            </w:r>
          </w:p>
        </w:tc>
        <w:tc>
          <w:tcPr>
            <w:tcW w:type="dxa" w:w="3135"/>
            <w:tcBorders>
              <w:top w:val="single" w:sz="4" w:color="808080"/>
              <w:left w:val="single" w:sz="4" w:color="808080"/>
              <w:bottom w:val="single" w:sz="4" w:color="808080"/>
              <w:right w:val="single" w:sz="4" w:color="808080"/>
            </w:tcBorders>
          </w:tcPr>
          <w:p>
            <w:r/>
            <w:r>
              <w:t xml:space="preserve">Đo lường ảnh hưởng của việc sử dụng thanh toán số đến </w:t>
            </w:r>
            <w:r>
              <w:rPr>
                <w:b/>
              </w:rPr>
              <w:t>hành vi tiêu dùng</w:t>
            </w:r>
            <w:r>
              <w:t xml:space="preserve"> của 105 sinh viên Khoa Kinh tế, Đại học Dehasen Bengkulu (Indonesia).</w:t>
            </w:r>
          </w:p>
        </w:tc>
        <w:tc>
          <w:tcPr>
            <w:tcW w:type="dxa" w:w="3135"/>
            <w:tcBorders>
              <w:top w:val="single" w:sz="4" w:color="808080"/>
              <w:left w:val="single" w:sz="4" w:color="808080"/>
              <w:bottom w:val="single" w:sz="4" w:color="808080"/>
              <w:right w:val="single" w:sz="4" w:color="808080"/>
            </w:tcBorders>
          </w:tcPr>
          <w:p>
            <w:r/>
            <w:r>
              <w:t xml:space="preserve">Mô hình hồi quy đơn biến cho kết quả Y = 8,985 + 0,680X với r = 0,604 (tương quan </w:t>
            </w:r>
            <w:r>
              <w:rPr>
                <w:b/>
              </w:rPr>
              <w:t>mạnh</w:t>
            </w:r>
            <w:r>
              <w:t xml:space="preserve">) và R² = 0,365. Như vậy thanh toán số giải thích khoảng </w:t>
            </w:r>
            <w:r>
              <w:rPr>
                <w:b/>
              </w:rPr>
              <w:t>36,5%</w:t>
            </w:r>
            <w:r>
              <w:t xml:space="preserve"> sự thay đổi của hành vi tiêu dùng (giả thuyết H₁ được chấp nhận, p &lt; 0,05). Năm chỉ báo của thanh toán số được nhóm tác giả nhấn mạnh là: cảm nhận về tính dễ sử dụng, tính hữu ích, độ tin cậy, ảnh hưởng xã hội và ý định hành vi. Ưu đãi (cashback, khuyến mãi) cùng áp lực bạn bè khiến sinh viên dễ rơi vào hành vi mua sắm vượt nhu cầu.</w:t>
            </w:r>
          </w:p>
        </w:tc>
      </w:tr>
      <w:tr>
        <w:tc>
          <w:tcPr>
            <w:tcW w:type="dxa" w:w="3135"/>
            <w:tcBorders>
              <w:top w:val="single" w:sz="4" w:color="808080"/>
              <w:left w:val="single" w:sz="4" w:color="808080"/>
              <w:bottom w:val="single" w:sz="4" w:color="808080"/>
              <w:right w:val="single" w:sz="4" w:color="808080"/>
            </w:tcBorders>
          </w:tcPr>
          <w:p>
            <w:r/>
            <w:r>
              <w:rPr>
                <w:b/>
              </w:rPr>
              <w:t>Chamlongrath, W. &amp; Tingsabhat, C. (2021).</w:t>
            </w:r>
            <w:r>
              <w:t xml:space="preserve"> </w:t>
            </w:r>
            <w:r>
              <w:rPr>
                <w:i/>
              </w:rPr>
              <w:t>The Payment Behavior and Electronic Payments Usage of University Students. KMUTT Research and Development Journal, 44(1), 103–117.</w:t>
            </w:r>
          </w:p>
        </w:tc>
        <w:tc>
          <w:tcPr>
            <w:tcW w:type="dxa" w:w="3135"/>
            <w:tcBorders>
              <w:top w:val="single" w:sz="4" w:color="808080"/>
              <w:left w:val="single" w:sz="4" w:color="808080"/>
              <w:bottom w:val="single" w:sz="4" w:color="808080"/>
              <w:right w:val="single" w:sz="4" w:color="808080"/>
            </w:tcBorders>
          </w:tcPr>
          <w:p>
            <w:r/>
            <w:r>
              <w:t xml:space="preserve">Khảo sát hành vi thanh toán của 400 sinh viên các trường đại học tại tỉnh Phitsanulok (Thái Lan); so sánh chi tiêu qua công nghệ tài chính theo </w:t>
            </w:r>
            <w:r>
              <w:rPr>
                <w:b/>
              </w:rPr>
              <w:t>giới tính, trường, thu nhập</w:t>
            </w:r>
            <w:r>
              <w:t xml:space="preserve"> và xem xét quan hệ giữa thanh toán điện tử với tổng chi tiêu.</w:t>
            </w:r>
          </w:p>
        </w:tc>
        <w:tc>
          <w:tcPr>
            <w:tcW w:type="dxa" w:w="3135"/>
            <w:tcBorders>
              <w:top w:val="single" w:sz="4" w:color="808080"/>
              <w:left w:val="single" w:sz="4" w:color="808080"/>
              <w:bottom w:val="single" w:sz="4" w:color="808080"/>
              <w:right w:val="single" w:sz="4" w:color="808080"/>
            </w:tcBorders>
          </w:tcPr>
          <w:p>
            <w:r/>
            <w:r>
              <w:t xml:space="preserve">Tiền mặt vẫn là phương thức được nhiều sinh viên dùng nhất, kế đến là mobile banking và thẻ tín dụng. Trong số nhà cung cấp dịch vụ, </w:t>
            </w:r>
            <w:r>
              <w:rPr>
                <w:b/>
              </w:rPr>
              <w:t>TrueMoney Wallet</w:t>
            </w:r>
            <w:r>
              <w:t xml:space="preserve"> dẫn đầu, tiếp theo là ứng dụng ngân hàng. Yếu tố quan trọng nhất khi sinh viên chọn nhà cung cấp là </w:t>
            </w:r>
            <w:r>
              <w:rPr>
                <w:b/>
              </w:rPr>
              <w:t>sự tiện lợi</w:t>
            </w:r>
            <w:r>
              <w:t xml:space="preserve">, sau đó là </w:t>
            </w:r>
            <w:r>
              <w:rPr>
                <w:b/>
              </w:rPr>
              <w:t>độ an toàn</w:t>
            </w:r>
            <w:r>
              <w:t>. Chi tiêu qua công nghệ tài chính khác biệt có ý nghĩa thống kê theo giới tính, trường và thu nhập (p &lt; 0,05). Internet banking và mobile banking là hai kênh có mối liên hệ mạnh nhất với tổng chi tiêu, dù mức độ liên hệ còn ở mức thấp.</w:t>
            </w:r>
          </w:p>
        </w:tc>
      </w:tr>
      <w:tr>
        <w:tc>
          <w:tcPr>
            <w:tcW w:type="dxa" w:w="3135"/>
            <w:tcBorders>
              <w:top w:val="single" w:sz="4" w:color="808080"/>
              <w:left w:val="single" w:sz="4" w:color="808080"/>
              <w:bottom w:val="single" w:sz="4" w:color="808080"/>
              <w:right w:val="single" w:sz="4" w:color="808080"/>
            </w:tcBorders>
          </w:tcPr>
          <w:p>
            <w:r/>
            <w:r>
              <w:rPr>
                <w:b/>
              </w:rPr>
              <w:t>Kustono, A. S., Nanggala, A. Y. A. &amp; Mas'ud, I. (2020).</w:t>
            </w:r>
            <w:r>
              <w:t xml:space="preserve"> </w:t>
            </w:r>
            <w:r>
              <w:rPr>
                <w:i/>
              </w:rPr>
              <w:t>Determinants of the Use of E-Wallet for Transaction Payment among College Students. Journal of Economics, Business, and Accountancy Ventura, 23(1), 85–95.</w:t>
            </w:r>
          </w:p>
        </w:tc>
        <w:tc>
          <w:tcPr>
            <w:tcW w:type="dxa" w:w="3135"/>
            <w:tcBorders>
              <w:top w:val="single" w:sz="4" w:color="808080"/>
              <w:left w:val="single" w:sz="4" w:color="808080"/>
              <w:bottom w:val="single" w:sz="4" w:color="808080"/>
              <w:right w:val="single" w:sz="4" w:color="808080"/>
            </w:tcBorders>
          </w:tcPr>
          <w:p>
            <w:r/>
            <w:r>
              <w:t xml:space="preserve">Xác định các yếu tố ảnh hưởng đến </w:t>
            </w:r>
            <w:r>
              <w:rPr>
                <w:b/>
              </w:rPr>
              <w:t>ý định hành vi sử dụng ví điện tử</w:t>
            </w:r>
            <w:r>
              <w:t xml:space="preserve"> của 180 sinh viên ở Jember (Indonesia) dựa trên mô hình chấp nhận công nghệ TAM (kiểm định 6 giả thuyết bằng PLS).</w:t>
            </w:r>
          </w:p>
        </w:tc>
        <w:tc>
          <w:tcPr>
            <w:tcW w:type="dxa" w:w="3135"/>
            <w:tcBorders>
              <w:top w:val="single" w:sz="4" w:color="808080"/>
              <w:left w:val="single" w:sz="4" w:color="808080"/>
              <w:bottom w:val="single" w:sz="4" w:color="808080"/>
              <w:right w:val="single" w:sz="4" w:color="808080"/>
            </w:tcBorders>
          </w:tcPr>
          <w:p>
            <w:r/>
            <w:r>
              <w:t xml:space="preserve">4/6 giả thuyết được ủng hộ: (1) </w:t>
            </w:r>
            <w:r>
              <w:rPr>
                <w:b/>
              </w:rPr>
              <w:t>Cảm nhận dễ sử dụng (PEU)</w:t>
            </w:r>
            <w:r>
              <w:t xml:space="preserve"> tác động dương đến </w:t>
            </w:r>
            <w:r>
              <w:rPr>
                <w:b/>
              </w:rPr>
              <w:t>cảm nhận hữu ích (PU)</w:t>
            </w:r>
            <w:r>
              <w:t xml:space="preserve">; (2) </w:t>
            </w:r>
            <w:r>
              <w:rPr>
                <w:b/>
              </w:rPr>
              <w:t>PU</w:t>
            </w:r>
            <w:r>
              <w:t xml:space="preserve"> tác động dương đến </w:t>
            </w:r>
            <w:r>
              <w:rPr>
                <w:b/>
              </w:rPr>
              <w:t>thái độ sử dụng (ATU)</w:t>
            </w:r>
            <w:r>
              <w:t xml:space="preserve">; (3) </w:t>
            </w:r>
            <w:r>
              <w:rPr>
                <w:b/>
              </w:rPr>
              <w:t>ATU</w:t>
            </w:r>
            <w:r>
              <w:t xml:space="preserve"> tác động dương đến </w:t>
            </w:r>
            <w:r>
              <w:rPr>
                <w:b/>
              </w:rPr>
              <w:t>ý định sử dụng (BIU)</w:t>
            </w:r>
            <w:r>
              <w:t xml:space="preserve">; (4) PU cũng tác động trực tiếp đến BIU. Đáng chú ý, </w:t>
            </w:r>
            <w:r>
              <w:rPr>
                <w:b/>
              </w:rPr>
              <w:t>chất lượng ứng dụng (AQ)</w:t>
            </w:r>
            <w:r>
              <w:t xml:space="preserve"> không ảnh hưởng có ý nghĩa đến PU và </w:t>
            </w:r>
            <w:r>
              <w:rPr>
                <w:b/>
              </w:rPr>
              <w:t>PEU không có tác động trực tiếp đến thái độ</w:t>
            </w:r>
            <w:r>
              <w:t>. Điều này cho thấy thái độ tích cực với ví điện tử chủ yếu hình thành thông qua nhận thức về lợi ích chứ không thuần túy do dễ thao tác.</w:t>
            </w:r>
          </w:p>
        </w:tc>
      </w:tr>
    </w:tbl>
    <w:p/>
    <w:p>
      <w:pPr>
        <w:pStyle w:val="Heading2"/>
      </w:pPr>
      <w:r>
        <w:t>TASK 3 – TỔNG QUAN TÀI LIỆU NGẮN (≈ 720 từ)</w:t>
      </w:r>
    </w:p>
    <w:p>
      <w:pPr>
        <w:pStyle w:val="Heading3"/>
      </w:pPr>
      <w:r>
        <w:t>3.1. Mở đầu</w:t>
      </w:r>
    </w:p>
    <w:p>
      <w:pPr>
        <w:jc w:val="both"/>
      </w:pPr>
      <w:r>
        <w:t>Trong vài năm gần đây, thanh toán số đã trở thành một phần không thể thiếu của hệ sinh thái tài chính toàn cầu. Các phương thức như ví điện tử, mobile banking, mã QR và internet banking giúp người dùng giao dịch nhanh chóng, an toàn và thuận tiện hơn so với tiền mặt (Afriani &amp; Yanti, 2023). Đối với sinh viên – nhóm trẻ tuổi, am hiểu công nghệ và có tần suất giao dịch trực tuyến cao – thanh toán số không chỉ là công cụ chi trả mà còn định hình thói quen tài chính trong dài hạn. Vì thế, hiểu rõ các yếu tố thúc đẩy hoặc cản trở việc sinh viên sử dụng thanh toán số là rất quan trọng đối với ngân hàng, nhà cung cấp ví điện tử và các nhà hoạch định chính sách trong tiến trình xây dựng nền kinh tế không tiền mặt. Phần tổng quan dưới đây tổng hợp ba nghiên cứu tiêu biểu thực hiện tại Indonesia (Bengkulu, Jember) và Thái Lan (Phitsanulok) trong giai đoạn 2020–2023, nhóm theo các nhóm yếu tố lớn: tính tiện lợi, độ an toàn và tin cậy, ảnh hưởng xã hội, mức độ chấp nhận công nghệ, và ảnh hưởng đến hành vi tiêu dùng.</w:t>
      </w:r>
    </w:p>
    <w:p>
      <w:pPr>
        <w:pStyle w:val="Heading3"/>
      </w:pPr>
      <w:r>
        <w:t>3.2. Nội dung chính</w:t>
      </w:r>
    </w:p>
    <w:p>
      <w:pPr>
        <w:jc w:val="both"/>
      </w:pPr>
      <w:r>
        <w:rPr>
          <w:b/>
        </w:rPr>
        <w:t>(a) Tính tiện lợi và cảm nhận dễ sử dụng (convenience &amp; perceived ease of use).</w:t>
      </w:r>
      <w:r>
        <w:t xml:space="preserve"> Cả ba nghiên cứu đều xác nhận tiện lợi là động lực hàng đầu. Chamlongrath &amp; Tingsabhat (2021) cho thấy lý do quan trọng nhất khiến sinh viên Thái Lan chọn nhà cung cấp dịch vụ thanh toán là </w:t>
      </w:r>
      <w:r>
        <w:rPr>
          <w:i/>
        </w:rPr>
        <w:t>sự tiện lợi</w:t>
      </w:r>
      <w:r>
        <w:t xml:space="preserve">, vượt trên cả các yếu tố khác. Tương tự, Kustono và cộng sự (2020) chứng minh rằng cảm nhận dễ sử dụng (PEU) tác động dương và có ý nghĩa thống kê đến cảm nhận hữu ích (PU) – tức là khi sinh viên thấy ví điện tử dễ thao tác, họ đánh giá nó là hữu ích, từ đó hình thành ý định sử dụng. Afriani &amp; Yanti (2023) cũng coi </w:t>
      </w:r>
      <w:r>
        <w:rPr>
          <w:i/>
        </w:rPr>
        <w:t>perceived ease of use</w:t>
      </w:r>
      <w:r>
        <w:t xml:space="preserve"> là một trong năm chỉ báo cốt lõi của thanh toán số.</w:t>
      </w:r>
    </w:p>
    <w:p>
      <w:pPr>
        <w:jc w:val="both"/>
      </w:pPr>
      <w:r>
        <w:rPr>
          <w:b/>
        </w:rPr>
        <w:t>(b) Độ an toàn và độ tin cậy (security &amp; credibility).</w:t>
      </w:r>
      <w:r>
        <w:t xml:space="preserve"> Yếu tố thứ hai được sinh viên cân nhắc là an toàn. Trong khảo sát ở Thái Lan, </w:t>
      </w:r>
      <w:r>
        <w:rPr>
          <w:i/>
        </w:rPr>
        <w:t>độ an toàn</w:t>
      </w:r>
      <w:r>
        <w:t xml:space="preserve"> được xếp ngay sau tiện lợi khi lựa chọn nhà cung cấp dịch vụ FinTech (Chamlongrath &amp; Tingsabhat, 2021). Afriani &amp; Yanti (2023) bổ sung khái niệm </w:t>
      </w:r>
      <w:r>
        <w:rPr>
          <w:i/>
        </w:rPr>
        <w:t>perceived credibility</w:t>
      </w:r>
      <w:r>
        <w:t xml:space="preserve"> — niềm tin vào tính bảo mật và uy tín của ứng dụng — như một biến quan trọng làm tăng cường độ sử dụng dịch vụ. Cảm nhận an toàn cao đồng nghĩa với việc sinh viên sẵn sàng thực hiện giao dịch với giá trị lớn hơn và tần suất cao hơn.</w:t>
      </w:r>
    </w:p>
    <w:p>
      <w:pPr>
        <w:jc w:val="both"/>
      </w:pPr>
      <w:r>
        <w:rPr>
          <w:b/>
        </w:rPr>
        <w:t>(c) Ảnh hưởng xã hội và bạn bè (social influence).</w:t>
      </w:r>
      <w:r>
        <w:t xml:space="preserve"> Sinh viên là nhóm chịu ảnh hưởng mạnh từ bạn bè cùng trang lứa. Afriani &amp; Yanti (2023) liệt kê </w:t>
      </w:r>
      <w:r>
        <w:rPr>
          <w:i/>
        </w:rPr>
        <w:t>social influence</w:t>
      </w:r>
      <w:r>
        <w:t xml:space="preserve"> là một trong năm chỉ báo của thanh toán số và phỏng vấn sơ bộ cho thấy việc bạn bè rủ rê, các chương trình cashback/khuyến mãi đã đẩy sinh viên Bengkulu đến hành vi mua sắm vượt nhu cầu. Mặc dù Kustono và cộng sự (2020) không kiểm định trực tiếp biến social influence, kết quả của họ về vai trò của </w:t>
      </w:r>
      <w:r>
        <w:rPr>
          <w:i/>
        </w:rPr>
        <w:t>thái độ</w:t>
      </w:r>
      <w:r>
        <w:t xml:space="preserve"> (ATU) cho thấy môi trường xung quanh có thể tác động gián tiếp qua việc hình thành thái độ tích cực.</w:t>
      </w:r>
    </w:p>
    <w:p>
      <w:pPr>
        <w:jc w:val="both"/>
      </w:pPr>
      <w:r>
        <w:rPr>
          <w:b/>
        </w:rPr>
        <w:t>(d) Mức độ chấp nhận công nghệ (technology adoption).</w:t>
      </w:r>
      <w:r>
        <w:t xml:space="preserve"> Mô hình TAM được nhiều tác giả áp dụng để giải thích quyết định sử dụng ví điện tử. Kustono và cộng sự (2020) khẳng định chuỗi PEU → PU → ATU → BIU là phù hợp với sinh viên Indonesia, trong khi PU còn tác động trực tiếp đến BIU. Đáng chú ý, </w:t>
      </w:r>
      <w:r>
        <w:rPr>
          <w:i/>
        </w:rPr>
        <w:t>chất lượng ứng dụng</w:t>
      </w:r>
      <w:r>
        <w:t xml:space="preserve"> (AQ) lại không ảnh hưởng có ý nghĩa đến PU, ngụ ý rằng giao diện đẹp hay tính năng phong phú chưa đủ nếu sinh viên không cảm thấy công cụ giúp ích cho công việc hằng ngày. Chamlongrath &amp; Tingsabhat (2021) bổ sung góc nhìn nhân khẩu học: chi tiêu qua FinTech khác biệt có ý nghĩa theo giới tính, trường và thu nhập – tức là quá trình chấp nhận công nghệ không đồng đều giữa các nhóm sinh viên.</w:t>
      </w:r>
    </w:p>
    <w:p>
      <w:pPr>
        <w:jc w:val="both"/>
      </w:pPr>
      <w:r>
        <w:rPr>
          <w:b/>
        </w:rPr>
        <w:t>(e) Ảnh hưởng đến hành vi tiêu dùng (impact on consumptive behavior).</w:t>
      </w:r>
      <w:r>
        <w:t xml:space="preserve"> Một mặt khác mà các nghiên cứu cảnh báo là tác động ngược của thanh toán số lên hành vi chi tiêu. Afriani &amp; Yanti (2023) tìm thấy mối quan hệ mạnh giữa thanh toán số và hành vi tiêu dùng (r = 0,604; R² = 0,365), cho thấy việc thanh toán quá dễ dàng có thể dẫn đến chi tiêu bốc đồng. Phát hiện này ăn khớp với kết quả của Chamlongrath &amp; Tingsabhat (2021) khi internet banking và mobile banking là hai kênh có liên hệ chặt nhất với tổng chi tiêu của sinh viên.</w:t>
      </w:r>
    </w:p>
    <w:p>
      <w:pPr>
        <w:pStyle w:val="Heading3"/>
      </w:pPr>
      <w:r>
        <w:t>3.3. Kết luận và khoảng trống nghiên cứu</w:t>
      </w:r>
    </w:p>
    <w:p>
      <w:pPr>
        <w:jc w:val="both"/>
      </w:pPr>
      <w:r>
        <w:t xml:space="preserve">Tổng hợp ba nghiên cứu cho thấy việc sinh viên sử dụng thanh toán số được dẫn dắt chủ yếu bởi </w:t>
      </w:r>
      <w:r>
        <w:rPr>
          <w:i/>
        </w:rPr>
        <w:t>tính tiện lợi</w:t>
      </w:r>
      <w:r>
        <w:t xml:space="preserve">, </w:t>
      </w:r>
      <w:r>
        <w:rPr>
          <w:i/>
        </w:rPr>
        <w:t>độ an toàn</w:t>
      </w:r>
      <w:r>
        <w:t xml:space="preserve">, </w:t>
      </w:r>
      <w:r>
        <w:rPr>
          <w:i/>
        </w:rPr>
        <w:t>cảm nhận hữu ích</w:t>
      </w:r>
      <w:r>
        <w:t xml:space="preserve"> và </w:t>
      </w:r>
      <w:r>
        <w:rPr>
          <w:i/>
        </w:rPr>
        <w:t>ảnh hưởng xã hội</w:t>
      </w:r>
      <w:r>
        <w:t xml:space="preserve">, đồng thời thanh toán số có thể làm gia tăng hành vi tiêu dùng vượt nhu cầu. Tuy nhiên, cả ba công trình đều thực hiện ở Indonesia hoặc Thái Lan; chưa có nghiên cứu định lượng tương tự thực hiện trên sinh viên Việt Nam – nơi thị trường ví điện tử (MoMo, ZaloPay, VNPay, ShopeePay) đang bùng nổ sau giai đoạn Covid‑19. Một khoảng trống nghiên cứu rõ ràng là </w:t>
      </w:r>
      <w:r>
        <w:rPr>
          <w:b/>
        </w:rPr>
        <w:t>thiếu các bằng chứng so sánh giữa sinh viên thành thị và sinh viên nông thôn ở Việt Nam</w:t>
      </w:r>
      <w:r>
        <w:t xml:space="preserve"> về các yếu tố ảnh hưởng đến việc sử dụng thanh toán số. Các nghiên cứu trong tương lai có thể bổ sung biến </w:t>
      </w:r>
      <w:r>
        <w:rPr>
          <w:i/>
        </w:rPr>
        <w:t>tài chính cá nhân (financial literacy)</w:t>
      </w:r>
      <w:r>
        <w:t xml:space="preserve"> và </w:t>
      </w:r>
      <w:r>
        <w:rPr>
          <w:i/>
        </w:rPr>
        <w:t>rủi ro bảo mật</w:t>
      </w:r>
      <w:r>
        <w:t xml:space="preserve"> để mô hình giải thích đầy đủ hơn.</w:t>
      </w:r>
    </w:p>
    <w:p>
      <w:pPr>
        <w:pStyle w:val="Heading3"/>
      </w:pPr>
      <w:r>
        <w:t>3.4. Tài liệu tham khảo (theo định dạng APA rút gọn)</w:t>
      </w:r>
    </w:p>
    <w:p>
      <w:pPr>
        <w:pStyle w:val="ListBullet"/>
      </w:pPr>
      <w:r>
        <w:t xml:space="preserve">Afriani, S., &amp; Yanti, R. T. (2023). The influence of digital payment on consumptive behavior (Case study students of the Faculty Economics, UNIVED Bengkulu). </w:t>
      </w:r>
      <w:r>
        <w:rPr>
          <w:i/>
        </w:rPr>
        <w:t>International Journal of Economics, Business and Accounting Research (IJEBAR), 7</w:t>
      </w:r>
      <w:r>
        <w:t>(1). https://doi.org/10.29040/ijebar.v7i1.8606</w:t>
      </w:r>
    </w:p>
    <w:p>
      <w:pPr>
        <w:pStyle w:val="ListBullet"/>
      </w:pPr>
      <w:r>
        <w:t xml:space="preserve">Chamlongrath, W., &amp; Tingsabhat, C. (2021). The payment behavior and electronic payments usage of university students. </w:t>
      </w:r>
      <w:r>
        <w:rPr>
          <w:i/>
        </w:rPr>
        <w:t>KMUTT Research and Development Journal, 44</w:t>
      </w:r>
      <w:r>
        <w:t>(1), 103–117. https://digital.lib.kmutt.ac.th/journal/kmuttv44n1_6.pdf</w:t>
      </w:r>
    </w:p>
    <w:p>
      <w:pPr>
        <w:pStyle w:val="ListBullet"/>
      </w:pPr>
      <w:r>
        <w:t xml:space="preserve">Kustono, A. S., Nanggala, A. Y. A., &amp; Mas'ud, I. (2020). Determinants of the use of e-wallet for transaction payment among college students. </w:t>
      </w:r>
      <w:r>
        <w:rPr>
          <w:i/>
        </w:rPr>
        <w:t>Journal of Economics, Business, and Accountancy Ventura, 23</w:t>
      </w:r>
      <w:r>
        <w:t>(1), 85–95. https://doi.org/10.14414/jebav.v23i1.2245</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Fonts w:ascii="Times New Roman" w:hAnsi="Times New Roman" w:cs="Times New Roman"/>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