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  <w:jc w:val="left"/>
      </w:pPr>
      <w:r>
        <w:rPr>
          <w:b/>
          <w:bCs/>
          <w:rStyle w:val="wolai-character-style"/>
        </w:rPr>
        <w:t xml:space="preserve">PRD模版</w:t>
      </w:r>
    </w:p>
    <w:p>
      <w:pPr>
        <w:pStyle w:val="Heading1"/>
        <w:jc w:val="left"/>
      </w:pPr>
      <w:r>
        <w:rPr>
          <w:rStyle w:val="wolai-character-style"/>
        </w:rPr>
        <w:t xml:space="preserve">1.需求背景</w:t>
      </w:r>
    </w:p>
    <w:p>
      <w:pPr>
        <w:jc w:val="left"/>
      </w:pPr>
      <w:r>
        <w:rPr>
          <w:rStyle w:val="wolai-character-style"/>
        </w:rPr>
        <w:t xml:space="preserve">本文档描述云平台的基础前端框架，云平台及衍生web后台功能尽可能遵守本文档的前端框架，以减少重复设计和开发工作量。</w:t>
      </w:r>
    </w:p>
    <w:p>
      <w:pPr>
        <w:pStyle w:val="Heading1"/>
        <w:jc w:val="left"/>
      </w:pPr>
      <w:r>
        <w:rPr>
          <w:rStyle w:val="wolai-character-style"/>
        </w:rPr>
        <w:t xml:space="preserve">2.前端框架参考</w:t>
      </w:r>
    </w:p>
    <w:p>
      <w:pPr>
        <w:jc w:val="left"/>
      </w:pPr>
      <w:r>
        <w:rPr>
          <w:rStyle w:val="wolai-character-style"/>
        </w:rPr>
        <w:t xml:space="preserve">云平台尽量采用某个统一的前端设计框架，推荐字节的arco.design：</w:t>
      </w:r>
      <w:hyperlink w:history="1" r:id="rIddiqsde6w19cawolc_xjbv">
        <w:r>
          <w:rPr>
            <w:u w:val="single"/>
            <w:color w:val="333940"/>
            <w:rStyle w:val="wolai-character-style"/>
          </w:rPr>
          <w:t xml:space="preserve">https://arco.design/</w:t>
        </w:r>
      </w:hyperlink>
    </w:p>
    <w:p>
      <w:pPr>
        <w:jc w:val="left"/>
      </w:pPr>
      <w:r>
        <w:rPr>
          <w:rStyle w:val="wolai-character-style"/>
        </w:rPr>
        <w:t xml:space="preserve">后续产品经理在定义后台功能时，需要翻阅arco的设计指南，确保自己的设计能够通过已有组件搭建实现；设计师尽量遵守arco提供的设计规范，如果需要出设计稿，可以更侧重布局、间距等定义，尽量使用arco的通用组件。</w:t>
      </w:r>
    </w:p>
    <w:p>
      <w:pPr>
        <w:jc w:val="left"/>
      </w:pPr>
      <w:r>
        <w:rPr>
          <w:rStyle w:val="wolai-character-style"/>
        </w:rPr>
        <w:t xml:space="preserve">本文档基于arco撰写，如果更换为其他前端框架，会评审沟通后修改文档。</w:t>
      </w:r>
    </w:p>
    <w:p>
      <w:pPr>
        <w:pStyle w:val="Heading1"/>
        <w:jc w:val="left"/>
      </w:pPr>
      <w:r>
        <w:rPr>
          <w:rStyle w:val="wolai-character-style"/>
        </w:rPr>
        <w:t xml:space="preserve">3.云平台页面结构</w:t>
      </w:r>
    </w:p>
    <w:p>
      <w:pPr>
        <w:jc w:val="center"/>
      </w:pPr>
      <w:r>
        <w:drawing>
          <wp:inline distT="0" distB="0" distL="0" distR="0">
            <wp:extent cx="4043363" cy="2414588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363" cy="24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Style w:val="wolai-character-style"/>
        </w:rPr>
        <w:t xml:space="preserve">上图为简单示例，为了便于说明，云平台相关的页面分为四大类，下文将逐个说明每一类的通用交互原则。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登录页：登录、登出、修改密码等功能的承载页面，原则上未登录状态下访问云平台仅可访问登录页，未登录则无法触达含有具体内容的其他页面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表单页：首页或其他一级功能的承载页面，一般包含顶栏、侧边栏、筛选器和表单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内容页：查看、修改表单中详细内容的承载页面，一般包含顶栏、内容区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弹窗：查看、修改表单中详细内容的承载容器，非独立页面</w:t>
      </w:r>
    </w:p>
    <w:p>
      <w:pPr>
        <w:pStyle w:val="Heading1"/>
        <w:jc w:val="left"/>
      </w:pPr>
      <w:r>
        <w:rPr>
          <w:rStyle w:val="wolai-character-style"/>
        </w:rPr>
        <w:t xml:space="preserve">4.交互原则</w:t>
      </w:r>
    </w:p>
    <w:p>
      <w:pPr>
        <w:pStyle w:val="Heading2"/>
        <w:jc w:val="left"/>
      </w:pPr>
      <w:r>
        <w:rPr>
          <w:rStyle w:val="wolai-character-style"/>
        </w:rPr>
        <w:t xml:space="preserve">4.1 登录页</w:t>
      </w:r>
    </w:p>
    <w:p>
      <w:pPr>
        <w:jc w:val="left"/>
      </w:pPr>
      <w:r>
        <w:rPr>
          <w:b/>
          <w:bCs/>
          <w:rStyle w:val="wolai-character-style"/>
        </w:rPr>
        <w:t xml:space="preserve">相关页面</w:t>
      </w:r>
      <w:r>
        <w:rPr>
          <w:rStyle w:val="wolai-character-style"/>
        </w:rPr>
        <w:t xml:space="preserve">：登录页、找回密码、修改密码……</w:t>
      </w:r>
    </w:p>
    <w:p>
      <w:pPr>
        <w:jc w:val="left"/>
      </w:pPr>
      <w:r>
        <w:rPr>
          <w:b/>
          <w:bCs/>
          <w:rStyle w:val="wolai-character-style"/>
        </w:rPr>
        <w:t xml:space="preserve">功能描述</w:t>
      </w:r>
      <w:r>
        <w:rPr>
          <w:rStyle w:val="wolai-character-style"/>
        </w:rPr>
        <w:t xml:space="preserve">：接入集团IAM，包含权限系统、SSO登录等功能</w:t>
      </w:r>
    </w:p>
    <w:p>
      <w:pPr>
        <w:pStyle w:val="Heading2"/>
        <w:jc w:val="left"/>
      </w:pPr>
      <w:r>
        <w:rPr>
          <w:rStyle w:val="wolai-character-style"/>
        </w:rPr>
        <w:t xml:space="preserve">4.2 表单页</w:t>
      </w:r>
    </w:p>
    <w:p>
      <w:pPr>
        <w:jc w:val="center"/>
      </w:pPr>
      <w:r>
        <w:drawing>
          <wp:inline distT="0" distB="0" distL="0" distR="0">
            <wp:extent cx="7219950" cy="332689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33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rStyle w:val="wolai-character-style"/>
        </w:rPr>
        <w:t xml:space="preserve">相关页面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云平台的各一级页面</w:t>
      </w:r>
    </w:p>
    <w:p>
      <w:pPr>
        <w:jc w:val="left"/>
      </w:pPr>
      <w:r>
        <w:rPr>
          <w:b/>
          <w:bCs/>
          <w:rStyle w:val="wolai-character-style"/>
        </w:rPr>
        <w:t xml:space="preserve">页面布局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顶栏</w:t>
      </w:r>
      <w:r>
        <w:rPr>
          <w:rStyle w:val="wolai-character-style"/>
        </w:rPr>
        <w:t xml:space="preserve">：吸顶、固定高度的导航栏，用于承载logo、导航、个人中心等功能。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侧边栏</w:t>
      </w:r>
      <w:r>
        <w:rPr>
          <w:rStyle w:val="wolai-character-style"/>
        </w:rPr>
        <w:t xml:space="preserve">：常驻页面左侧，固定宽度，上下通栏。用于承载一二级tab菜单。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一级目录</w:t>
      </w:r>
      <w:r>
        <w:rPr>
          <w:rStyle w:val="wolai-character-style"/>
        </w:rPr>
        <w:t xml:space="preserve">：默认为收起状态，点击交互热区展开/收起下属的二级目录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二级目录</w:t>
      </w:r>
      <w:r>
        <w:rPr>
          <w:rStyle w:val="wolai-character-style"/>
        </w:rPr>
        <w:t xml:space="preserve">：点击交互热区，在当前页切换显示对应的表单页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内容区</w:t>
      </w:r>
      <w:r>
        <w:rPr>
          <w:rStyle w:val="wolai-character-style"/>
        </w:rPr>
        <w:t xml:space="preserve">：用来承载表单、复杂交互的区域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内容区（核心区域）</w:t>
      </w:r>
      <w:r>
        <w:rPr>
          <w:rStyle w:val="wolai-character-style"/>
        </w:rPr>
        <w:t xml:space="preserve">：布局上尽量将表单、筛选器、按钮等交互布置在核心区域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内容区（留白区域）</w:t>
      </w:r>
      <w:r>
        <w:rPr>
          <w:rStyle w:val="wolai-character-style"/>
        </w:rPr>
        <w:t xml:space="preserve">：因为有的页面可能会有常驻右下角的快捷操作浮窗，因此内容区域右侧建议留白，防止右下角内容与浮窗重叠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快捷交互</w:t>
      </w:r>
      <w:r>
        <w:rPr>
          <w:rStyle w:val="wolai-character-style"/>
        </w:rPr>
        <w:t xml:space="preserve">：如需可在页面右下角布置最高层的常驻弹窗，一般会承载高频交互</w:t>
      </w:r>
    </w:p>
    <w:p>
      <w:pPr>
        <w:jc w:val="left"/>
      </w:pPr>
      <w:r>
        <w:rPr>
          <w:b/>
          <w:bCs/>
          <w:rStyle w:val="wolai-character-style"/>
        </w:rPr>
        <w:t xml:space="preserve">适配策略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顶栏</w:t>
      </w:r>
      <w:r>
        <w:rPr>
          <w:rStyle w:val="wolai-character-style"/>
        </w:rPr>
        <w:t xml:space="preserve">：固定高度吸顶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侧边栏</w:t>
      </w:r>
      <w:r>
        <w:rPr>
          <w:rStyle w:val="wolai-character-style"/>
        </w:rPr>
        <w:t xml:space="preserve">：固定宽度常驻左侧，可以扩展为浏览器宽度过小时，折叠为缩略显示态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快捷交互</w:t>
      </w:r>
      <w:r>
        <w:rPr>
          <w:rStyle w:val="wolai-character-style"/>
        </w:rPr>
        <w:t xml:space="preserve">：固定尺寸常驻右下角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内容区</w:t>
      </w:r>
      <w:r>
        <w:rPr>
          <w:rStyle w:val="wolai-character-style"/>
        </w:rPr>
        <w:t xml:space="preserve">：根据浏览器大小自适应变化，其中显示和交互元素有最小宽度和最大宽度，高度固定。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浏览器宽度小于最小宽度时，底部出现滚动条；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浏览器宽度大于最大宽度时，元素中央居中、左右扩展留白；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浏览器高度过小时，显示右侧滚动条；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浏览器高度过大时，底部扩展留白。</w:t>
      </w:r>
    </w:p>
    <w:p>
      <w:pPr>
        <w:pStyle w:val="Heading2"/>
        <w:jc w:val="left"/>
      </w:pPr>
      <w:r>
        <w:rPr>
          <w:rStyle w:val="wolai-character-style"/>
        </w:rPr>
        <w:t xml:space="preserve">4.3 内容页</w:t>
      </w:r>
    </w:p>
    <w:p>
      <w:pPr>
        <w:jc w:val="center"/>
      </w:pPr>
      <w:r>
        <w:drawing>
          <wp:inline distT="0" distB="0" distL="0" distR="0">
            <wp:extent cx="7219950" cy="332689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33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rStyle w:val="wolai-character-style"/>
        </w:rPr>
        <w:t xml:space="preserve">相关页面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由表单页列表点击“查看”或“编辑”进入的详情页。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用于新建复杂内容的页面（例如：新建策略、新建活动）。</w:t>
      </w:r>
    </w:p>
    <w:p>
      <w:pPr>
        <w:jc w:val="left"/>
      </w:pPr>
      <w:r>
        <w:rPr>
          <w:b/>
          <w:bCs/>
          <w:rStyle w:val="wolai-character-style"/>
        </w:rPr>
        <w:t xml:space="preserve">页面布局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顶栏</w:t>
      </w:r>
      <w:r>
        <w:rPr>
          <w:rStyle w:val="wolai-character-style"/>
        </w:rPr>
        <w:t xml:space="preserve">：同4.2 表单页-顶栏。吸顶、固定高度的导航栏，用于承载logo、导航、个人中心等功能。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导航区域</w:t>
      </w:r>
      <w:r>
        <w:rPr>
          <w:rStyle w:val="wolai-character-style"/>
        </w:rPr>
        <w:t xml:space="preserve">：位于顶栏下方，一般用于承载面包屑（Breadcrumb）导航、返回按钮、保存或取消按钮、页内Tab切换。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面包屑</w:t>
      </w:r>
      <w:r>
        <w:rPr>
          <w:rStyle w:val="wolai-character-style"/>
        </w:rPr>
        <w:t xml:space="preserve">：标明当前页面在层级结构中的位置，并支持返回上一级。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页内Tab</w:t>
      </w:r>
      <w:r>
        <w:rPr>
          <w:rStyle w:val="wolai-character-style"/>
        </w:rPr>
        <w:t xml:space="preserve">：用于在同一页面内切换不同的内容模块。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内容区</w:t>
      </w:r>
      <w:r>
        <w:rPr>
          <w:rStyle w:val="wolai-character-style"/>
        </w:rPr>
        <w:t xml:space="preserve">：承载详情、表单、数据看板等核心交互的区域。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内容区（核心区域）</w:t>
      </w:r>
      <w:r>
        <w:rPr>
          <w:rStyle w:val="wolai-character-style"/>
        </w:rPr>
        <w:t xml:space="preserve">：布局上尽量将详情内容、数据图表、操作按钮等交互布置在核心区域。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内容区（留白区域）</w:t>
      </w:r>
      <w:r>
        <w:rPr>
          <w:rStyle w:val="wolai-character-style"/>
        </w:rPr>
        <w:t xml:space="preserve">：因为有的页面可能会有常驻右下角的快捷操作浮窗，因此内容区域右侧建议留白，防止右下角内容与浮窗重叠。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快捷交互</w:t>
      </w:r>
      <w:r>
        <w:rPr>
          <w:rStyle w:val="wolai-character-style"/>
        </w:rPr>
        <w:t xml:space="preserve">：同4.2 表单页-快捷交互。如需可在页面右下角布置最高层的常驻弹窗，一般会承载高频交互。</w:t>
      </w:r>
    </w:p>
    <w:p>
      <w:pPr>
        <w:jc w:val="left"/>
      </w:pPr>
      <w:r>
        <w:rPr>
          <w:b/>
          <w:bCs/>
          <w:rStyle w:val="wolai-character-style"/>
        </w:rPr>
        <w:t xml:space="preserve">适配策略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顶栏</w:t>
      </w:r>
      <w:r>
        <w:rPr>
          <w:rStyle w:val="wolai-character-style"/>
        </w:rPr>
        <w:t xml:space="preserve">：固定高度吸顶。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导航区域</w:t>
      </w:r>
      <w:r>
        <w:rPr>
          <w:rStyle w:val="wolai-character-style"/>
        </w:rPr>
        <w:t xml:space="preserve">：固定在顶栏下方，宽度随内容区变化。当内容区出现横向滚动条时，导航区域随之滚动。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快捷交互</w:t>
      </w:r>
      <w:r>
        <w:rPr>
          <w:rStyle w:val="wolai-character-style"/>
        </w:rPr>
        <w:t xml:space="preserve">：固定尺寸常驻右下角。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内容区</w:t>
      </w:r>
      <w:r>
        <w:rPr>
          <w:rStyle w:val="wolai-character-style"/>
        </w:rPr>
        <w:t xml:space="preserve">：根据浏览器大小自适应变化，其中显示和交互元素有最小宽度和最大宽度，高度自适应。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浏览器宽度小于最小宽度时，底部出现滚动条；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浏览器宽度大于最大宽度时，元素中央居中、左右扩展留白；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浏览器高度过小时，内容区显示右侧滚动条（顶栏和导航区域固定）；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浏览器高度过大时，底部扩展留白。</w:t>
      </w:r>
    </w:p>
    <w:p>
      <w:pPr>
        <w:pStyle w:val="Heading2"/>
        <w:jc w:val="left"/>
      </w:pPr>
      <w:r>
        <w:rPr>
          <w:rStyle w:val="wolai-character-style"/>
        </w:rPr>
        <w:t xml:space="preserve">4.4 弹窗</w:t>
      </w:r>
    </w:p>
    <w:p>
      <w:pPr>
        <w:jc w:val="center"/>
      </w:pPr>
      <w:r>
        <w:drawing>
          <wp:inline distT="0" distB="0" distL="0" distR="0">
            <wp:extent cx="7219950" cy="332689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33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rStyle w:val="wolai-character-style"/>
        </w:rPr>
        <w:t xml:space="preserve">相关页面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作为承载容器，在当前页面（表单页或内容页）上弹出，用于执行快速查看、编辑、新建或确认等操作。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使用弹窗可避免不必要的页面跳转，保持用户当前的操作上下文。</w:t>
      </w:r>
    </w:p>
    <w:p>
      <w:pPr>
        <w:jc w:val="left"/>
      </w:pPr>
      <w:r>
        <w:rPr>
          <w:b/>
          <w:bCs/>
          <w:rStyle w:val="wolai-character-style"/>
        </w:rPr>
        <w:t xml:space="preserve">页面布局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深色半透明蒙层</w:t>
      </w:r>
      <w:r>
        <w:rPr>
          <w:rStyle w:val="wolai-character-style"/>
        </w:rPr>
        <w:t xml:space="preserve">：用于覆盖除弹窗外的整个页面可视区域，将视觉焦点集中在弹窗上。点击蒙层区域无交互，防止误触。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弹窗标题区域</w:t>
      </w:r>
      <w:r>
        <w:rPr>
          <w:rStyle w:val="wolai-character-style"/>
        </w:rPr>
        <w:t xml:space="preserve">：位于弹窗顶部，固定高度。一般包含弹窗标题和关闭按钮（“x”）。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弹窗内容区域</w:t>
      </w:r>
      <w:r>
        <w:rPr>
          <w:rStyle w:val="wolai-character-style"/>
        </w:rPr>
        <w:t xml:space="preserve">：位于标题区域下方，用于承载表单、详情信息、确认文案等核心内容。</w:t>
      </w:r>
    </w:p>
    <w:p>
      <w:pPr>
        <w:jc w:val="left"/>
      </w:pPr>
      <w:r>
        <w:rPr>
          <w:b/>
          <w:bCs/>
          <w:rStyle w:val="wolai-character-style"/>
        </w:rPr>
        <w:t xml:space="preserve">适配策略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蒙层</w:t>
      </w:r>
      <w:r>
        <w:rPr>
          <w:rStyle w:val="wolai-character-style"/>
        </w:rPr>
        <w:t xml:space="preserve">：铺满整个浏览器可视窗口。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b/>
          <w:bCs/>
          <w:rStyle w:val="wolai-character-style"/>
        </w:rPr>
        <w:t xml:space="preserve">弹窗</w:t>
      </w:r>
      <w:r>
        <w:rPr>
          <w:rStyle w:val="wolai-character-style"/>
        </w:rPr>
        <w:t xml:space="preserve">：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位置</w:t>
      </w:r>
      <w:r>
        <w:rPr>
          <w:rStyle w:val="wolai-character-style"/>
        </w:rPr>
        <w:t xml:space="preserve">：在浏览器可视窗口中保持垂直居中，从右侧展开。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尺寸</w:t>
      </w:r>
      <w:r>
        <w:rPr>
          <w:rStyle w:val="wolai-character-style"/>
        </w:rPr>
        <w:t xml:space="preserve">：宽度一般为固定值（或根据内容在一定范围内自适应），高度根据内容自适应，但必须设定最大高度。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b/>
          <w:bCs/>
          <w:rStyle w:val="wolai-character-style"/>
        </w:rPr>
        <w:t xml:space="preserve">滚动</w:t>
      </w:r>
      <w:r>
        <w:rPr>
          <w:rStyle w:val="wolai-character-style"/>
        </w:rPr>
        <w:t xml:space="preserve">：当弹窗内容区域的高度超过设定的最大高度时，内容区域内部出现滚动条，而标题区域和底部的操作按钮区域（如有）保持固定。</w:t>
      </w:r>
    </w:p>
    <w:p>
      <w:pPr>
        <w:pStyle w:val="Heading1"/>
        <w:jc w:val="left"/>
      </w:pPr>
      <w:r>
        <w:rPr>
          <w:rStyle w:val="wolai-character-style"/>
        </w:rPr>
        <w:t xml:space="preserve">5.页面层级</w:t>
      </w:r>
    </w:p>
    <w:p>
      <w:pPr>
        <w:pStyle w:val="Heading2"/>
        <w:jc w:val="left"/>
      </w:pPr>
      <w:r>
        <w:rPr>
          <w:rStyle w:val="wolai-character-style"/>
        </w:rPr>
        <w:t xml:space="preserve">5.1 层级说明</w:t>
      </w:r>
    </w:p>
    <w:p>
      <w:pPr>
        <w:jc w:val="left"/>
      </w:pPr>
      <w:r>
        <w:rPr>
          <w:rStyle w:val="wolai-character-style"/>
        </w:rPr>
        <w:t xml:space="preserve">为了方便维护和管理，把所有自研云平台相关功能聚合在同一个域名下，通过权限系统控制展示、访问权限。每个层级的页面说明如下：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顶栏导航：按照业务线区分，例如「OTA平台」、「远程诊断」、「车态数据」等</w:t>
      </w:r>
    </w:p>
    <w:p>
      <w:pPr>
        <w:pStyle w:val="ListParagraph"/>
        <w:numPr>
          <w:ilvl w:val="0"/>
          <w:numId w:val="172"/>
        </w:numPr>
        <w:jc w:val="left"/>
      </w:pPr>
      <w:r>
        <w:rPr>
          <w:rStyle w:val="wolai-character-style"/>
        </w:rPr>
        <w:t xml:space="preserve">侧边栏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一级目录：按照某个业务线下的核心模块区分，例如「OTA平台」下可能会有的一级目录有「配置管理」、「车辆管理」等</w:t>
      </w:r>
    </w:p>
    <w:p>
      <w:pPr>
        <w:pStyle w:val="ListParagraph"/>
        <w:numPr>
          <w:ilvl w:val="1"/>
          <w:numId w:val="172"/>
        </w:numPr>
        <w:ind w:left="360"/>
        <w:jc w:val="left"/>
      </w:pPr>
      <w:r>
        <w:rPr>
          <w:rStyle w:val="wolai-character-style"/>
        </w:rPr>
        <w:t xml:space="preserve">二级目录：某个模块内的具体功能，例如「OTA平台」-「车辆管理」-「车型基础数据」/「车辆基础数据」等</w:t>
      </w:r>
    </w:p>
    <w:p>
      <w:pPr>
        <w:pStyle w:val="Heading2"/>
        <w:jc w:val="left"/>
      </w:pPr>
      <w:r>
        <w:rPr>
          <w:rStyle w:val="wolai-character-style"/>
        </w:rPr>
        <w:t xml:space="preserve">5.2 目录规范</w:t>
      </w:r>
    </w:p>
    <w:p>
      <w:pPr>
        <w:jc w:val="left"/>
      </w:pPr>
      <w:r>
        <w:rPr>
          <w:rStyle w:val="wolai-character-style"/>
        </w:rPr>
        <w:t xml:space="preserve">云平台的目录层级维护在以下表格「云平台规范文档」中：「文档链接」</w:t>
      </w:r>
    </w:p>
    <w:p>
      <w:pPr>
        <w:jc w:val="left"/>
      </w:pPr>
      <w:r>
        <w:rPr>
          <w:rStyle w:val="wolai-character-style"/>
        </w:rPr>
        <w:t xml:space="preserve">为了便于沟通，后续PRD及原型图中，不必要体现完整的目录层级，只需要显示文档中相关的目录层级即可，完整的目录层级、顺序、名称以表格为准</w:t>
      </w:r>
    </w:p>
    <w:p>
      <w:pPr>
        <w:pStyle w:val="Heading2"/>
        <w:jc w:val="left"/>
      </w:pPr>
      <w:r>
        <w:rPr>
          <w:rStyle w:val="wolai-character-style"/>
        </w:rPr>
        <w:t xml:space="preserve">5.3 工作流</w:t>
      </w:r>
    </w:p>
    <w:p>
      <w:pPr>
        <w:jc w:val="left"/>
      </w:pPr>
      <w:r>
        <w:rPr>
          <w:rStyle w:val="wolai-character-style"/>
        </w:rPr>
        <w:t xml:space="preserve">后续如果需要新增或调整目录层级，请按照以下流程推进：</w:t>
      </w:r>
    </w:p>
    <w:p>
      <w:pPr>
        <w:jc w:val="left"/>
      </w:pPr>
      <w:r>
        <w:rPr>
          <w:rStyle w:val="wolai-character-style"/>
        </w:rPr>
        <w:t xml:space="preserve">（1）具体功能的产品与XXX沟通，确认需求</w:t>
      </w:r>
    </w:p>
    <w:p>
      <w:pPr>
        <w:jc w:val="left"/>
      </w:pPr>
      <w:r>
        <w:rPr>
          <w:rStyle w:val="wolai-character-style"/>
        </w:rPr>
        <w:t xml:space="preserve">（2）由XXX在目录规范文档中，新增或修改</w:t>
      </w:r>
    </w:p>
    <w:p>
      <w:pPr>
        <w:jc w:val="left"/>
      </w:pPr>
      <w:r>
        <w:rPr>
          <w:rStyle w:val="wolai-character-style"/>
        </w:rPr>
        <w:t xml:space="preserve">（3）具体功能PRD按照目录规范中定义的页面层级撰写，进入PRD评审流程</w:t>
      </w:r>
    </w:p>
    <w:p>
      <w:pPr>
        <w:jc w:val="left"/>
      </w:pPr>
      <w:r>
        <w:rPr>
          <w:rStyle w:val="wolai-character-style"/>
        </w:rPr>
        <w:t xml:space="preserve">具体功能的PRD中如果需要声明后台目录层级，可以引用云平台目录规范文档。</w:t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6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0"/>
      </w:pPr>
    </w:lvl>
    <w:lvl w:ilvl="1" w15:tentative="1">
      <w:start w:val="1"/>
      <w:numFmt w:val="bullet"/>
      <w:lvlText w:val="●"/>
      <w:lvlJc w:val="left"/>
      <w:pPr>
        <w:ind w:left="360"/>
      </w:pPr>
    </w:lvl>
    <w:lvl w:ilvl="2" w15:tentative="1">
      <w:start w:val="1"/>
      <w:numFmt w:val="bullet"/>
      <w:lvlText w:val="●"/>
      <w:lvlJc w:val="left"/>
      <w:pPr>
        <w:ind w:left="720"/>
      </w:pPr>
    </w:lvl>
    <w:lvl w:ilvl="3" w15:tentative="1">
      <w:start w:val="1"/>
      <w:numFmt w:val="bullet"/>
      <w:lvlText w:val="●"/>
      <w:lvlJc w:val="left"/>
      <w:pPr>
        <w:ind w:left="1080"/>
      </w:pPr>
    </w:lvl>
    <w:lvl w:ilvl="4" w15:tentative="1">
      <w:start w:val="1"/>
      <w:numFmt w:val="bullet"/>
      <w:lvlText w:val="●"/>
      <w:lvlJc w:val="left"/>
      <w:pPr>
        <w:ind w:left="1440"/>
      </w:pPr>
    </w:lvl>
    <w:lvl w:ilvl="5" w15:tentative="1">
      <w:start w:val="1"/>
      <w:numFmt w:val="bullet"/>
      <w:lvlText w:val="●"/>
      <w:lvlJc w:val="left"/>
      <w:pPr>
        <w:ind w:left="1800"/>
      </w:pPr>
    </w:lvl>
    <w:lvl w:ilvl="6" w15:tentative="1">
      <w:start w:val="1"/>
      <w:numFmt w:val="bullet"/>
      <w:lvlText w:val="●"/>
      <w:lvlJc w:val="left"/>
      <w:pPr>
        <w:ind w:left="2160"/>
      </w:pPr>
    </w:lvl>
    <w:lvl w:ilvl="7" w15:tentative="1">
      <w:start w:val="1"/>
      <w:numFmt w:val="bullet"/>
      <w:lvlText w:val="●"/>
      <w:lvlJc w:val="left"/>
      <w:pPr>
        <w:ind w:left="2520"/>
      </w:pPr>
    </w:lvl>
    <w:lvl w:ilvl="8" w15:tentative="1">
      <w:start w:val="1"/>
      <w:numFmt w:val="bullet"/>
      <w:lvlText w:val="●"/>
      <w:lvlJc w:val="left"/>
      <w:pPr>
        <w:ind w:left="288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✔️"/>
      <w:lvlJc w:val="left"/>
      <w:pPr>
        <w:ind w:left="0"/>
      </w:pPr>
      <w:rPr>
        <w:color w:val="C0C0C0"/>
      </w:rPr>
    </w:lvl>
    <w:lvl w:ilvl="1" w15:tentative="1">
      <w:start w:val="1"/>
      <w:numFmt w:val="decimal"/>
      <w:lvlText w:val="✔️"/>
      <w:lvlJc w:val="left"/>
      <w:pPr>
        <w:ind w:left="360"/>
      </w:pPr>
      <w:rPr>
        <w:color w:val="C0C0C0"/>
      </w:rPr>
    </w:lvl>
    <w:lvl w:ilvl="2" w15:tentative="1">
      <w:start w:val="1"/>
      <w:numFmt w:val="decimal"/>
      <w:lvlText w:val="✔️"/>
      <w:lvlJc w:val="left"/>
      <w:pPr>
        <w:ind w:left="720"/>
      </w:pPr>
      <w:rPr>
        <w:color w:val="C0C0C0"/>
      </w:rPr>
    </w:lvl>
    <w:lvl w:ilvl="3" w15:tentative="1">
      <w:start w:val="1"/>
      <w:numFmt w:val="decimal"/>
      <w:lvlText w:val="✔️"/>
      <w:lvlJc w:val="left"/>
      <w:pPr>
        <w:ind w:left="1080"/>
      </w:pPr>
      <w:rPr>
        <w:color w:val="C0C0C0"/>
      </w:rPr>
    </w:lvl>
    <w:lvl w:ilvl="4" w15:tentative="1">
      <w:start w:val="1"/>
      <w:numFmt w:val="decimal"/>
      <w:lvlText w:val="✔️"/>
      <w:lvlJc w:val="left"/>
      <w:pPr>
        <w:ind w:left="1440"/>
      </w:pPr>
      <w:rPr>
        <w:color w:val="C0C0C0"/>
      </w:rPr>
    </w:lvl>
    <w:lvl w:ilvl="5" w15:tentative="1">
      <w:start w:val="1"/>
      <w:numFmt w:val="decimal"/>
      <w:lvlText w:val="✔️"/>
      <w:lvlJc w:val="left"/>
      <w:pPr>
        <w:ind w:left="1800"/>
      </w:pPr>
      <w:rPr>
        <w:color w:val="C0C0C0"/>
      </w:rPr>
    </w:lvl>
    <w:lvl w:ilvl="6" w15:tentative="1">
      <w:start w:val="1"/>
      <w:numFmt w:val="decimal"/>
      <w:lvlText w:val="✔️"/>
      <w:lvlJc w:val="left"/>
      <w:pPr>
        <w:ind w:left="2160"/>
      </w:pPr>
      <w:rPr>
        <w:color w:val="C0C0C0"/>
      </w:rPr>
    </w:lvl>
    <w:lvl w:ilvl="7" w15:tentative="1">
      <w:start w:val="1"/>
      <w:numFmt w:val="decimal"/>
      <w:lvlText w:val="✔️"/>
      <w:lvlJc w:val="left"/>
      <w:pPr>
        <w:ind w:left="2520"/>
      </w:pPr>
      <w:rPr>
        <w:color w:val="C0C0C0"/>
      </w:rPr>
    </w:lvl>
    <w:lvl w:ilvl="8" w15:tentative="1">
      <w:start w:val="1"/>
      <w:numFmt w:val="decimal"/>
      <w:lvlText w:val="✔️"/>
      <w:lvlJc w:val="left"/>
      <w:pPr>
        <w:ind w:left="2880"/>
      </w:pPr>
      <w:rPr>
        <w:color w:val="C0C0C0"/>
      </w:r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🔲"/>
      <w:lvlJc w:val="left"/>
      <w:pPr>
        <w:ind w:left="0"/>
      </w:pPr>
      <w:rPr>
        <w:color w:val="000000"/>
      </w:rPr>
    </w:lvl>
    <w:lvl w:ilvl="1" w15:tentative="1">
      <w:start w:val="1"/>
      <w:numFmt w:val="decimal"/>
      <w:lvlText w:val="🔲"/>
      <w:lvlJc w:val="left"/>
      <w:pPr>
        <w:ind w:left="360"/>
      </w:pPr>
      <w:rPr>
        <w:color w:val="000000"/>
      </w:rPr>
    </w:lvl>
    <w:lvl w:ilvl="2" w15:tentative="1">
      <w:start w:val="1"/>
      <w:numFmt w:val="decimal"/>
      <w:lvlText w:val="🔲"/>
      <w:lvlJc w:val="left"/>
      <w:pPr>
        <w:ind w:left="720"/>
      </w:pPr>
      <w:rPr>
        <w:color w:val="000000"/>
      </w:rPr>
    </w:lvl>
    <w:lvl w:ilvl="3" w15:tentative="1">
      <w:start w:val="1"/>
      <w:numFmt w:val="decimal"/>
      <w:lvlText w:val="🔲"/>
      <w:lvlJc w:val="left"/>
      <w:pPr>
        <w:ind w:left="1080"/>
      </w:pPr>
      <w:rPr>
        <w:color w:val="000000"/>
      </w:rPr>
    </w:lvl>
    <w:lvl w:ilvl="4" w15:tentative="1">
      <w:start w:val="1"/>
      <w:numFmt w:val="decimal"/>
      <w:lvlText w:val="🔲"/>
      <w:lvlJc w:val="left"/>
      <w:pPr>
        <w:ind w:left="1440"/>
      </w:pPr>
      <w:rPr>
        <w:color w:val="000000"/>
      </w:rPr>
    </w:lvl>
    <w:lvl w:ilvl="5" w15:tentative="1">
      <w:start w:val="1"/>
      <w:numFmt w:val="decimal"/>
      <w:lvlText w:val="🔲"/>
      <w:lvlJc w:val="left"/>
      <w:pPr>
        <w:ind w:left="1800"/>
      </w:pPr>
      <w:rPr>
        <w:color w:val="000000"/>
      </w:rPr>
    </w:lvl>
    <w:lvl w:ilvl="6" w15:tentative="1">
      <w:start w:val="1"/>
      <w:numFmt w:val="decimal"/>
      <w:lvlText w:val="🔲"/>
      <w:lvlJc w:val="left"/>
      <w:pPr>
        <w:ind w:left="2160"/>
      </w:pPr>
      <w:rPr>
        <w:color w:val="000000"/>
      </w:rPr>
    </w:lvl>
    <w:lvl w:ilvl="7" w15:tentative="1">
      <w:start w:val="1"/>
      <w:numFmt w:val="decimal"/>
      <w:lvlText w:val="🔲"/>
      <w:lvlJc w:val="left"/>
      <w:pPr>
        <w:ind w:left="2520"/>
      </w:pPr>
      <w:rPr>
        <w:color w:val="000000"/>
      </w:rPr>
    </w:lvl>
    <w:lvl w:ilvl="8" w15:tentative="1">
      <w:start w:val="1"/>
      <w:numFmt w:val="decimal"/>
      <w:lvlText w:val="🔲"/>
      <w:lvlJc w:val="left"/>
      <w:pPr>
        <w:ind w:left="2880"/>
      </w:pPr>
      <w:rPr>
        <w:color w:val="000000"/>
      </w:r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未完成："/>
      <w:lvlJc w:val="left"/>
      <w:pPr>
        <w:ind w:left="0"/>
      </w:pPr>
    </w:lvl>
    <w:lvl w:ilvl="1" w15:tentative="1">
      <w:start w:val="1"/>
      <w:numFmt w:val="decimal"/>
      <w:lvlText w:val="未完成："/>
      <w:lvlJc w:val="left"/>
      <w:pPr>
        <w:ind w:left="360"/>
      </w:pPr>
    </w:lvl>
    <w:lvl w:ilvl="2" w15:tentative="1">
      <w:start w:val="1"/>
      <w:numFmt w:val="decimal"/>
      <w:lvlText w:val="未完成："/>
      <w:lvlJc w:val="left"/>
      <w:pPr>
        <w:ind w:left="720"/>
      </w:pPr>
    </w:lvl>
    <w:lvl w:ilvl="3" w15:tentative="1">
      <w:start w:val="1"/>
      <w:numFmt w:val="decimal"/>
      <w:lvlText w:val="未完成："/>
      <w:lvlJc w:val="left"/>
      <w:pPr>
        <w:ind w:left="1080"/>
      </w:pPr>
    </w:lvl>
    <w:lvl w:ilvl="4" w15:tentative="1">
      <w:start w:val="1"/>
      <w:numFmt w:val="decimal"/>
      <w:lvlText w:val="未完成："/>
      <w:lvlJc w:val="left"/>
      <w:pPr>
        <w:ind w:left="1440"/>
      </w:pPr>
    </w:lvl>
    <w:lvl w:ilvl="5" w15:tentative="1">
      <w:start w:val="1"/>
      <w:numFmt w:val="decimal"/>
      <w:lvlText w:val="未完成："/>
      <w:lvlJc w:val="left"/>
      <w:pPr>
        <w:ind w:left="1800"/>
      </w:pPr>
    </w:lvl>
    <w:lvl w:ilvl="6" w15:tentative="1">
      <w:start w:val="1"/>
      <w:numFmt w:val="decimal"/>
      <w:lvlText w:val="未完成："/>
      <w:lvlJc w:val="left"/>
      <w:pPr>
        <w:ind w:left="2160"/>
      </w:pPr>
    </w:lvl>
    <w:lvl w:ilvl="7" w15:tentative="1">
      <w:start w:val="1"/>
      <w:numFmt w:val="decimal"/>
      <w:lvlText w:val="未完成："/>
      <w:lvlJc w:val="left"/>
      <w:pPr>
        <w:ind w:left="2520"/>
      </w:pPr>
    </w:lvl>
    <w:lvl w:ilvl="8" w15:tentative="1">
      <w:start w:val="1"/>
      <w:numFmt w:val="decimal"/>
      <w:lvlText w:val="未完成："/>
      <w:lvlJc w:val="left"/>
      <w:pPr>
        <w:ind w:left="288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进行中："/>
      <w:lvlJc w:val="left"/>
      <w:pPr>
        <w:ind w:left="0"/>
      </w:pPr>
    </w:lvl>
    <w:lvl w:ilvl="1" w15:tentative="1">
      <w:start w:val="1"/>
      <w:numFmt w:val="decimal"/>
      <w:lvlText w:val="进行中："/>
      <w:lvlJc w:val="left"/>
      <w:pPr>
        <w:ind w:left="360"/>
      </w:pPr>
    </w:lvl>
    <w:lvl w:ilvl="2" w15:tentative="1">
      <w:start w:val="1"/>
      <w:numFmt w:val="decimal"/>
      <w:lvlText w:val="进行中："/>
      <w:lvlJc w:val="left"/>
      <w:pPr>
        <w:ind w:left="720"/>
      </w:pPr>
    </w:lvl>
    <w:lvl w:ilvl="3" w15:tentative="1">
      <w:start w:val="1"/>
      <w:numFmt w:val="decimal"/>
      <w:lvlText w:val="进行中："/>
      <w:lvlJc w:val="left"/>
      <w:pPr>
        <w:ind w:left="1080"/>
      </w:pPr>
    </w:lvl>
    <w:lvl w:ilvl="4" w15:tentative="1">
      <w:start w:val="1"/>
      <w:numFmt w:val="decimal"/>
      <w:lvlText w:val="进行中："/>
      <w:lvlJc w:val="left"/>
      <w:pPr>
        <w:ind w:left="1440"/>
      </w:pPr>
    </w:lvl>
    <w:lvl w:ilvl="5" w15:tentative="1">
      <w:start w:val="1"/>
      <w:numFmt w:val="decimal"/>
      <w:lvlText w:val="进行中："/>
      <w:lvlJc w:val="left"/>
      <w:pPr>
        <w:ind w:left="1800"/>
      </w:pPr>
    </w:lvl>
    <w:lvl w:ilvl="6" w15:tentative="1">
      <w:start w:val="1"/>
      <w:numFmt w:val="decimal"/>
      <w:lvlText w:val="进行中："/>
      <w:lvlJc w:val="left"/>
      <w:pPr>
        <w:ind w:left="2160"/>
      </w:pPr>
    </w:lvl>
    <w:lvl w:ilvl="7" w15:tentative="1">
      <w:start w:val="1"/>
      <w:numFmt w:val="decimal"/>
      <w:lvlText w:val="进行中："/>
      <w:lvlJc w:val="left"/>
      <w:pPr>
        <w:ind w:left="2520"/>
      </w:pPr>
    </w:lvl>
    <w:lvl w:ilvl="8" w15:tentative="1">
      <w:start w:val="1"/>
      <w:numFmt w:val="decimal"/>
      <w:lvlText w:val="进行中："/>
      <w:lvlJc w:val="left"/>
      <w:pPr>
        <w:ind w:left="288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已完成："/>
      <w:lvlJc w:val="left"/>
      <w:pPr>
        <w:ind w:left="0"/>
      </w:pPr>
    </w:lvl>
    <w:lvl w:ilvl="1" w15:tentative="1">
      <w:start w:val="1"/>
      <w:numFmt w:val="decimal"/>
      <w:lvlText w:val="已完成："/>
      <w:lvlJc w:val="left"/>
      <w:pPr>
        <w:ind w:left="360"/>
      </w:pPr>
    </w:lvl>
    <w:lvl w:ilvl="2" w15:tentative="1">
      <w:start w:val="1"/>
      <w:numFmt w:val="decimal"/>
      <w:lvlText w:val="已完成："/>
      <w:lvlJc w:val="left"/>
      <w:pPr>
        <w:ind w:left="720"/>
      </w:pPr>
    </w:lvl>
    <w:lvl w:ilvl="3" w15:tentative="1">
      <w:start w:val="1"/>
      <w:numFmt w:val="decimal"/>
      <w:lvlText w:val="已完成："/>
      <w:lvlJc w:val="left"/>
      <w:pPr>
        <w:ind w:left="1080"/>
      </w:pPr>
    </w:lvl>
    <w:lvl w:ilvl="4" w15:tentative="1">
      <w:start w:val="1"/>
      <w:numFmt w:val="decimal"/>
      <w:lvlText w:val="已完成："/>
      <w:lvlJc w:val="left"/>
      <w:pPr>
        <w:ind w:left="1440"/>
      </w:pPr>
    </w:lvl>
    <w:lvl w:ilvl="5" w15:tentative="1">
      <w:start w:val="1"/>
      <w:numFmt w:val="decimal"/>
      <w:lvlText w:val="已完成："/>
      <w:lvlJc w:val="left"/>
      <w:pPr>
        <w:ind w:left="1800"/>
      </w:pPr>
    </w:lvl>
    <w:lvl w:ilvl="6" w15:tentative="1">
      <w:start w:val="1"/>
      <w:numFmt w:val="decimal"/>
      <w:lvlText w:val="已完成："/>
      <w:lvlJc w:val="left"/>
      <w:pPr>
        <w:ind w:left="2160"/>
      </w:pPr>
    </w:lvl>
    <w:lvl w:ilvl="7" w15:tentative="1">
      <w:start w:val="1"/>
      <w:numFmt w:val="decimal"/>
      <w:lvlText w:val="已完成："/>
      <w:lvlJc w:val="left"/>
      <w:pPr>
        <w:ind w:left="2520"/>
      </w:pPr>
    </w:lvl>
    <w:lvl w:ilvl="8" w15:tentative="1">
      <w:start w:val="1"/>
      <w:numFmt w:val="decimal"/>
      <w:lvlText w:val="已完成："/>
      <w:lvlJc w:val="left"/>
      <w:pPr>
        <w:ind w:left="288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🔻"/>
      <w:lvlJc w:val="left"/>
      <w:pPr>
        <w:ind w:left="0"/>
      </w:pPr>
      <w:rPr>
        <w:color w:val="000000"/>
        <w:sz w:val="6pt"/>
        <w:szCs w:val="6pt"/>
      </w:rPr>
    </w:lvl>
    <w:lvl w:ilvl="1" w15:tentative="1">
      <w:start w:val="1"/>
      <w:numFmt w:val="decimal"/>
      <w:lvlText w:val="🔻"/>
      <w:lvlJc w:val="left"/>
      <w:pPr>
        <w:ind w:left="360"/>
      </w:pPr>
      <w:rPr>
        <w:color w:val="000000"/>
        <w:sz w:val="6pt"/>
        <w:szCs w:val="6pt"/>
      </w:rPr>
    </w:lvl>
    <w:lvl w:ilvl="2" w15:tentative="1">
      <w:start w:val="1"/>
      <w:numFmt w:val="decimal"/>
      <w:lvlText w:val="🔻"/>
      <w:lvlJc w:val="left"/>
      <w:pPr>
        <w:ind w:left="720"/>
      </w:pPr>
      <w:rPr>
        <w:color w:val="000000"/>
        <w:sz w:val="6pt"/>
        <w:szCs w:val="6pt"/>
      </w:rPr>
    </w:lvl>
    <w:lvl w:ilvl="3" w15:tentative="1">
      <w:start w:val="1"/>
      <w:numFmt w:val="decimal"/>
      <w:lvlText w:val="🔻"/>
      <w:lvlJc w:val="left"/>
      <w:pPr>
        <w:ind w:left="1080"/>
      </w:pPr>
      <w:rPr>
        <w:color w:val="000000"/>
        <w:sz w:val="6pt"/>
        <w:szCs w:val="6pt"/>
      </w:rPr>
    </w:lvl>
    <w:lvl w:ilvl="4" w15:tentative="1">
      <w:start w:val="1"/>
      <w:numFmt w:val="decimal"/>
      <w:lvlText w:val="🔻"/>
      <w:lvlJc w:val="left"/>
      <w:pPr>
        <w:ind w:left="1440"/>
      </w:pPr>
      <w:rPr>
        <w:color w:val="000000"/>
        <w:sz w:val="6pt"/>
        <w:szCs w:val="6pt"/>
      </w:rPr>
    </w:lvl>
    <w:lvl w:ilvl="5" w15:tentative="1">
      <w:start w:val="1"/>
      <w:numFmt w:val="decimal"/>
      <w:lvlText w:val="🔻"/>
      <w:lvlJc w:val="left"/>
      <w:pPr>
        <w:ind w:left="1800"/>
      </w:pPr>
      <w:rPr>
        <w:color w:val="000000"/>
        <w:sz w:val="6pt"/>
        <w:szCs w:val="6pt"/>
      </w:rPr>
    </w:lvl>
    <w:lvl w:ilvl="6" w15:tentative="1">
      <w:start w:val="1"/>
      <w:numFmt w:val="decimal"/>
      <w:lvlText w:val="🔻"/>
      <w:lvlJc w:val="left"/>
      <w:pPr>
        <w:ind w:left="2160"/>
      </w:pPr>
      <w:rPr>
        <w:color w:val="000000"/>
        <w:sz w:val="6pt"/>
        <w:szCs w:val="6pt"/>
      </w:rPr>
    </w:lvl>
    <w:lvl w:ilvl="7" w15:tentative="1">
      <w:start w:val="1"/>
      <w:numFmt w:val="decimal"/>
      <w:lvlText w:val="🔻"/>
      <w:lvlJc w:val="left"/>
      <w:pPr>
        <w:ind w:left="2520"/>
      </w:pPr>
      <w:rPr>
        <w:color w:val="000000"/>
        <w:sz w:val="6pt"/>
        <w:szCs w:val="6pt"/>
      </w:rPr>
    </w:lvl>
    <w:lvl w:ilvl="8" w15:tentative="1">
      <w:start w:val="1"/>
      <w:numFmt w:val="decimal"/>
      <w:lvlText w:val="🔻"/>
      <w:lvlJc w:val="left"/>
      <w:pPr>
        <w:ind w:left="2880"/>
      </w:pPr>
      <w:rPr>
        <w:color w:val="000000"/>
        <w:sz w:val="6pt"/>
        <w:szCs w:val="6pt"/>
      </w:rPr>
    </w:lvl>
  </w:abstractNum>
  <w:num w:numId="1">
    <w:abstractNumId w:val="164"/>
    <w:lvlOverride w:ilvl="0">
      <w:startOverride w:val="1"/>
    </w:lvlOverride>
  </w:num>
  <w:num w:numId="172">
    <w:abstractNumId w:val="16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uiPriority w:val="0"/>
    <w:pPr>
      <w:spacing w:line="360"/>
    </w:pPr>
    <w:rPr>
      <w:sz w:val="24"/>
      <w:szCs w:val="24"/>
      <w:rFonts w:ascii="Microsoft YaHei UI" w:eastAsia="Microsoft YaHei UI" w:hAnsi="Microsoft YaHei UI"/>
    </w:rPr>
  </w:style>
  <w:style w:type="paragraph" w:styleId="Title">
    <w:name w:val="Title"/>
    <w:basedOn w:val="Normal"/>
    <w:next w:val="Normal"/>
    <w:uiPriority w:val="9"/>
    <w:pPr>
      <w:outlineLvl w:val="0"/>
    </w:pPr>
    <w:rPr>
      <w:b/>
      <w:bCs/>
      <w:sz w:val="51"/>
      <w:szCs w:val="51"/>
    </w:rPr>
  </w:style>
  <w:style w:type="paragraph" w:styleId="Heading1">
    <w:name w:val="heading 1"/>
    <w:basedOn w:val="Normal"/>
    <w:next w:val="Normal"/>
    <w:uiPriority w:val="9"/>
    <w:pPr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next w:val="Normal"/>
    <w:uiPriority w:val="9"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pPr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pPr>
      <w:outlineLvl w:val="3"/>
    </w:pPr>
    <w:rPr>
      <w:b/>
      <w:bCs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iqsde6w19cawolc_xjbv" Type="http://schemas.openxmlformats.org/officeDocument/2006/relationships/hyperlink" Target="https://arco.design/" TargetMode="External"/><Relationship Id="rId5" Type="http://schemas.openxmlformats.org/officeDocument/2006/relationships/image" Target="media/k6c21vegkgdbjxnuktv6o.png"/><Relationship Id="rId6" Type="http://schemas.openxmlformats.org/officeDocument/2006/relationships/image" Target="media/euocor9vqzye0pxjytnqs.png"/><Relationship Id="rId7" Type="http://schemas.openxmlformats.org/officeDocument/2006/relationships/image" Target="media/3cmuga-zg18ngvlnxqnuz.png"/><Relationship Id="rId8" Type="http://schemas.openxmlformats.org/officeDocument/2006/relationships/image" Target="media/hng1yowc1w2kwcubyhkf-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2026-02-10T02:46:01.680Z</dcterms:created>
  <dcterms:modified xsi:type="dcterms:W3CDTF">2026-02-10T02:46:01.680Z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