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40"/>
        <w:jc w:val="center"/>
        <w:rPr/>
      </w:pPr>
      <w:r>
        <w:rPr>
          <w:b/>
          <w:bCs/>
          <w:sz w:val="44"/>
          <w:szCs w:val="44"/>
        </w:rPr>
        <w:t>Dimensionality Reduction in NLP</w:t>
      </w:r>
    </w:p>
    <w:p>
      <w:pPr>
        <w:pStyle w:val="Normal"/>
        <w:spacing w:before="0" w:after="400"/>
        <w:jc w:val="center"/>
        <w:rPr/>
      </w:pPr>
      <w:r>
        <w:rPr>
          <w:sz w:val="28"/>
          <w:szCs w:val="28"/>
        </w:rPr>
        <w:t>PCA, LSA, and t-SNE on English and Romanian text corpora</w:t>
      </w:r>
    </w:p>
    <w:p>
      <w:pPr>
        <w:pStyle w:val="Normal"/>
        <w:spacing w:before="0" w:after="1400"/>
        <w:jc w:val="center"/>
        <w:rPr/>
      </w:pPr>
      <w:r>
        <w:rPr>
          <w:i/>
          <w:iCs/>
          <w:sz w:val="24"/>
          <w:szCs w:val="24"/>
        </w:rPr>
        <w:t>Practical project report</w:t>
      </w:r>
    </w:p>
    <w:p>
      <w:pPr>
        <w:pStyle w:val="Normal"/>
        <w:spacing w:before="0" w:after="60"/>
        <w:jc w:val="center"/>
        <w:rPr/>
      </w:pPr>
      <w:r>
        <w:rPr>
          <w:sz w:val="22"/>
          <w:szCs w:val="22"/>
        </w:rPr>
        <w:t>Companion to the theoretical report:</w:t>
      </w:r>
    </w:p>
    <w:p>
      <w:pPr>
        <w:pStyle w:val="Normal"/>
        <w:spacing w:before="0" w:after="240"/>
        <w:jc w:val="center"/>
        <w:rPr/>
      </w:pPr>
      <w:r>
        <w:rPr>
          <w:i/>
          <w:iCs/>
          <w:sz w:val="22"/>
          <w:szCs w:val="22"/>
        </w:rPr>
        <w:t>Dimensionality Reduction in NLP: Theoretical Foundations, Methods, and Applications</w:t>
      </w:r>
    </w:p>
    <w:p>
      <w:pPr>
        <w:pStyle w:val="Normal"/>
        <w:rPr/>
      </w:pPr>
      <w:r>
        <w:rPr/>
      </w:r>
      <w:r>
        <w:br w:type="page"/>
      </w:r>
    </w:p>
    <w:p>
      <w:pPr>
        <w:pStyle w:val="Heading1"/>
        <w:spacing w:before="0" w:after="140"/>
        <w:rPr/>
      </w:pPr>
      <w:r>
        <w:rPr>
          <w:b/>
          <w:bCs/>
        </w:rPr>
        <w:t>1. Problem Statement</w:t>
      </w:r>
    </w:p>
    <w:p>
      <w:pPr>
        <w:pStyle w:val="Normal"/>
        <w:spacing w:lineRule="exact" w:line="300" w:before="0" w:after="120"/>
        <w:jc w:val="both"/>
        <w:rPr/>
      </w:pPr>
      <w:r>
        <w:rPr/>
        <w:t xml:space="preserve">Natural language processing systems represent text as high-dimensional, extremely sparse vectors </w:t>
      </w:r>
      <w:r>
        <w:rPr/>
        <w:t>(</w:t>
      </w:r>
      <w:r>
        <w:rPr/>
        <w:t>one dimension per vocabulary term</w:t>
      </w:r>
      <w:r>
        <w:rPr/>
        <w:t>)</w:t>
      </w:r>
      <w:r>
        <w:rPr/>
        <w:t xml:space="preserve">. For realistic corpora, vocabularies easily reach tens of thousands of terms, producing matrices that are computationally expensive to manipulate, statistically noisy due to synonymy and polysemy, and impossible to inspect visually. Dimensionality reduction </w:t>
      </w:r>
      <w:r>
        <w:rPr/>
        <w:t>tackles</w:t>
      </w:r>
      <w:r>
        <w:rPr/>
        <w:t xml:space="preserve"> three issues, </w:t>
      </w:r>
      <w:r>
        <w:rPr/>
        <w:t>all</w:t>
      </w:r>
      <w:r>
        <w:rPr/>
        <w:t xml:space="preserve"> at once.</w:t>
      </w:r>
    </w:p>
    <w:p>
      <w:pPr>
        <w:pStyle w:val="Normal"/>
        <w:spacing w:lineRule="exact" w:line="300" w:before="0" w:after="120"/>
        <w:jc w:val="both"/>
        <w:rPr/>
      </w:pPr>
      <w:r>
        <w:rPr/>
        <w:t>The NLP task addressed in this project is the compression of TF-IDF document representations using three classical methods: Principal Component Analysis (PCA), Latent Semantic Analysis (LSA), and t-Distributed Stochastic Neighbor Embedding (t-SNE). The same pipeline is applied to two labeled corpora: 20 Newsgroups in English and MOROCO in Romanian, so that the behavior of each method can be compared across languages with different morphological complexity.</w:t>
      </w:r>
    </w:p>
    <w:p>
      <w:pPr>
        <w:pStyle w:val="Normal"/>
        <w:spacing w:lineRule="exact" w:line="300" w:before="0" w:after="120"/>
        <w:jc w:val="both"/>
        <w:rPr/>
      </w:pPr>
      <w:r>
        <w:rPr/>
        <w:t>Each method is evaluated along a different axis:</w:t>
      </w:r>
    </w:p>
    <w:p>
      <w:pPr>
        <w:pStyle w:val="ListParagraph"/>
        <w:numPr>
          <w:ilvl w:val="0"/>
          <w:numId w:val="3"/>
        </w:numPr>
        <w:spacing w:lineRule="exact" w:line="280" w:before="0" w:after="80"/>
        <w:rPr/>
      </w:pPr>
      <w:r>
        <w:rPr/>
        <w:t>PCA --&gt; explained variance ratio and document classification accuracy in the reduced space, establishing the linear baseline.</w:t>
      </w:r>
    </w:p>
    <w:p>
      <w:pPr>
        <w:pStyle w:val="ListParagraph"/>
        <w:numPr>
          <w:ilvl w:val="0"/>
          <w:numId w:val="1"/>
        </w:numPr>
        <w:spacing w:lineRule="exact" w:line="280" w:before="0" w:after="80"/>
        <w:rPr/>
      </w:pPr>
      <w:r>
        <w:rPr/>
        <w:t>LSA --&gt; classification accuracy plus document retrieval mean Average Precision (mAP), measuring whether semantic compression improves cosine-similarity retrieval relative to the raw TF-IDF baseline.</w:t>
      </w:r>
    </w:p>
    <w:p>
      <w:pPr>
        <w:pStyle w:val="ListParagraph"/>
        <w:numPr>
          <w:ilvl w:val="0"/>
          <w:numId w:val="1"/>
        </w:numPr>
        <w:spacing w:lineRule="exact" w:line="280" w:before="0" w:after="80"/>
        <w:rPr/>
      </w:pPr>
      <w:r>
        <w:rPr/>
        <w:t>T-SNE --&gt; silhouette score of the 2D embedding against ground-truth labels, and visual cluster separation compared against PCA-2D and LSA-2D linear projections.</w:t>
      </w:r>
    </w:p>
    <w:p>
      <w:pPr>
        <w:pStyle w:val="Heading1"/>
        <w:spacing w:before="280" w:after="140"/>
        <w:rPr/>
      </w:pPr>
      <w:r>
        <w:rPr>
          <w:b/>
          <w:bCs/>
        </w:rPr>
        <w:t>2. Proposed Solution</w:t>
      </w:r>
    </w:p>
    <w:p>
      <w:pPr>
        <w:pStyle w:val="Heading2"/>
        <w:spacing w:before="280" w:after="140"/>
        <w:rPr/>
      </w:pPr>
      <w:r>
        <w:rPr>
          <w:b/>
          <w:bCs/>
        </w:rPr>
        <w:t>2.1. Theoretical Aspects</w:t>
      </w:r>
    </w:p>
    <w:p>
      <w:pPr>
        <w:pStyle w:val="Heading3"/>
        <w:spacing w:before="280" w:after="140"/>
        <w:rPr/>
      </w:pPr>
      <w:r>
        <w:rPr>
          <w:b/>
          <w:bCs/>
        </w:rPr>
        <w:t>Principal Component Analysis (PCA)</w:t>
      </w:r>
    </w:p>
    <w:p>
      <w:pPr>
        <w:pStyle w:val="Normal"/>
        <w:spacing w:lineRule="exact" w:line="300" w:before="0" w:after="120"/>
        <w:jc w:val="both"/>
        <w:rPr/>
      </w:pPr>
      <w:r>
        <w:rPr/>
        <w:t>PCA finds the orthogonal directions of maximum variance in a centered data matrix. Given the centered TF-IDF matrix X̃ = X − μ, the covariance matrix C = (1/n) X̃ᵀ X̃ is diagonalized:</w:t>
      </w:r>
    </w:p>
    <w:p>
      <w:pPr>
        <w:pStyle w:val="Normal"/>
        <w:shd w:val="clear" w:fill="F4F4F4"/>
        <w:spacing w:lineRule="exact" w:line="260" w:before="0" w:after="120"/>
        <w:rPr/>
      </w:pPr>
      <w:r>
        <w:rPr>
          <w:rFonts w:eastAsia="Consolas" w:cs="Consolas" w:ascii="Consolas" w:hAnsi="Consolas"/>
          <w:sz w:val="18"/>
          <w:szCs w:val="18"/>
        </w:rPr>
        <w:t xml:space="preserve">    </w:t>
      </w:r>
      <w:r>
        <w:rPr>
          <w:rFonts w:eastAsia="Consolas" w:cs="Consolas" w:ascii="Consolas" w:hAnsi="Consolas"/>
          <w:sz w:val="18"/>
          <w:szCs w:val="18"/>
        </w:rPr>
        <w:t>C v_i = λ_i v_i        λ_1 ≥ λ_2 ≥ … ≥ λ_n ≥ 0</w:t>
      </w:r>
    </w:p>
    <w:p>
      <w:pPr>
        <w:pStyle w:val="Normal"/>
        <w:spacing w:lineRule="exact" w:line="300" w:before="0" w:after="120"/>
        <w:jc w:val="both"/>
        <w:rPr/>
      </w:pPr>
      <w:r>
        <w:rPr/>
        <w:t>The eigenvectors v_i are the principal components. The same result is obtained from the SVD of the centered matrix, X̃ = UΣVᵀ, where V's columns are the principal components and the diagonal of Σ holds the square roots of the eigenvalues. Truncating to k dimensions gives the optimal rank-k approximation in the Frobenius-norm sense (Eckart–Young–Mirsky theorem).</w:t>
      </w:r>
    </w:p>
    <w:p>
      <w:pPr>
        <w:pStyle w:val="Heading3"/>
        <w:spacing w:before="280" w:after="140"/>
        <w:rPr/>
      </w:pPr>
      <w:r>
        <w:rPr>
          <w:b/>
          <w:bCs/>
        </w:rPr>
        <w:t>Latent Semantic Analysis (LSA)</w:t>
      </w:r>
    </w:p>
    <w:p>
      <w:pPr>
        <w:pStyle w:val="Normal"/>
        <w:spacing w:lineRule="exact" w:line="300" w:before="0" w:after="120"/>
        <w:jc w:val="both"/>
        <w:rPr/>
      </w:pPr>
      <w:r>
        <w:rPr/>
        <w:t xml:space="preserve">LSA applies truncated SVD to the uncentered TF-IDF matrix. The key difference from PCA is that the mean is not subtracted </w:t>
      </w:r>
      <w:r>
        <w:rPr/>
        <w:t>which is</w:t>
      </w:r>
      <w:r>
        <w:rPr/>
        <w:t xml:space="preserve"> essential for sparse text matrices where centering would destroy sparsity and lose the geometric meaning of the term axes. The factorization is:</w:t>
      </w:r>
    </w:p>
    <w:p>
      <w:pPr>
        <w:pStyle w:val="Normal"/>
        <w:shd w:val="clear" w:fill="F4F4F4"/>
        <w:spacing w:lineRule="exact" w:line="260" w:before="0" w:after="120"/>
        <w:rPr/>
      </w:pPr>
      <w:r>
        <w:rPr>
          <w:rFonts w:eastAsia="Consolas" w:cs="Consolas" w:ascii="Consolas" w:hAnsi="Consolas"/>
          <w:sz w:val="18"/>
          <w:szCs w:val="18"/>
        </w:rPr>
        <w:t xml:space="preserve">    </w:t>
      </w:r>
      <w:r>
        <w:rPr>
          <w:rFonts w:eastAsia="Consolas" w:cs="Consolas" w:ascii="Consolas" w:hAnsi="Consolas"/>
          <w:sz w:val="18"/>
          <w:szCs w:val="18"/>
        </w:rPr>
        <w:t>X ≈ T_k · S_k · D_k^T        k ≪ rank(X)</w:t>
      </w:r>
    </w:p>
    <w:p>
      <w:pPr>
        <w:pStyle w:val="Normal"/>
        <w:spacing w:lineRule="exact" w:line="300" w:before="0" w:after="120"/>
        <w:jc w:val="both"/>
        <w:rPr/>
      </w:pPr>
      <w:r>
        <w:rPr/>
        <w:t xml:space="preserve">Each retained singular value scales a latent topic axis shared by terms and documents. Cosine similarity in this reduced space captures semantic </w:t>
      </w:r>
      <w:r>
        <w:rPr/>
        <w:t>relations</w:t>
      </w:r>
      <w:r>
        <w:rPr/>
        <w:t xml:space="preserve"> even between documents with zero vocabulary overlap. </w:t>
      </w:r>
      <w:r>
        <w:rPr/>
        <w:t>That is the</w:t>
      </w:r>
      <w:r>
        <w:rPr/>
        <w:t xml:space="preserve"> mathematical mechanism behind LSA's ability to handle synonymy (different words, same concept) and polysemy (same word, different contexts).</w:t>
      </w:r>
    </w:p>
    <w:p>
      <w:pPr>
        <w:pStyle w:val="Heading3"/>
        <w:spacing w:before="280" w:after="140"/>
        <w:rPr/>
      </w:pPr>
      <w:r>
        <w:rPr>
          <w:b/>
          <w:bCs/>
        </w:rPr>
        <w:t>t-Distributed Stochastic Neighbor Embedding (t-SNE)</w:t>
      </w:r>
    </w:p>
    <w:p>
      <w:pPr>
        <w:pStyle w:val="Normal"/>
        <w:spacing w:lineRule="exact" w:line="300" w:before="0" w:after="120"/>
        <w:jc w:val="both"/>
        <w:rPr/>
      </w:pPr>
      <w:r>
        <w:rPr/>
        <w:t>t-SNE is a non-linear method for 2D or 3D visualization. It defines a probability distribution P over high-dimensional pairs using a Gaussian kernel with bandwidth σ_i calibrated so that each point has a neighborhood of effective size equal to the perplexity parameter:</w:t>
      </w:r>
    </w:p>
    <w:p>
      <w:pPr>
        <w:pStyle w:val="Normal"/>
        <w:shd w:val="clear" w:fill="F4F4F4"/>
        <w:spacing w:lineRule="exact" w:line="260" w:before="0" w:after="120"/>
        <w:rPr/>
      </w:pPr>
      <w:r>
        <w:rPr>
          <w:rFonts w:eastAsia="Consolas" w:cs="Consolas" w:ascii="Consolas" w:hAnsi="Consolas"/>
          <w:sz w:val="18"/>
          <w:szCs w:val="18"/>
        </w:rPr>
        <w:t xml:space="preserve">    </w:t>
      </w:r>
      <w:r>
        <w:rPr>
          <w:rFonts w:eastAsia="Consolas" w:cs="Consolas" w:ascii="Consolas" w:hAnsi="Consolas"/>
          <w:sz w:val="18"/>
          <w:szCs w:val="18"/>
        </w:rPr>
        <w:t>p_{j|i} = exp(-||x_i - x_j||^2 / 2σ_i^2) / Σ_{k≠i} exp(-||x_i - x_k||^2 / 2σ_i^2)</w:t>
      </w:r>
    </w:p>
    <w:p>
      <w:pPr>
        <w:pStyle w:val="Normal"/>
        <w:spacing w:lineRule="exact" w:line="300" w:before="0" w:after="120"/>
        <w:jc w:val="both"/>
        <w:rPr/>
      </w:pPr>
      <w:r>
        <w:rPr/>
        <w:t>A corresponding distribution Q in the 2D embedding uses the heavier-tailed Student-t kernel:</w:t>
      </w:r>
    </w:p>
    <w:p>
      <w:pPr>
        <w:pStyle w:val="Normal"/>
        <w:shd w:val="clear" w:fill="F4F4F4"/>
        <w:spacing w:lineRule="exact" w:line="260" w:before="0" w:after="120"/>
        <w:rPr/>
      </w:pPr>
      <w:r>
        <w:rPr>
          <w:rFonts w:eastAsia="Consolas" w:cs="Consolas" w:ascii="Consolas" w:hAnsi="Consolas"/>
          <w:sz w:val="18"/>
          <w:szCs w:val="18"/>
        </w:rPr>
        <w:t xml:space="preserve">    </w:t>
      </w:r>
      <w:r>
        <w:rPr>
          <w:rFonts w:eastAsia="Consolas" w:cs="Consolas" w:ascii="Consolas" w:hAnsi="Consolas"/>
          <w:sz w:val="18"/>
          <w:szCs w:val="18"/>
        </w:rPr>
        <w:t>q_{ij} = (1 + ||y_i - y_j||^2)^-1  /  Σ_{k≠l} (1 + ||y_k - y_l||^2)^-1</w:t>
      </w:r>
    </w:p>
    <w:p>
      <w:pPr>
        <w:pStyle w:val="Normal"/>
        <w:spacing w:lineRule="exact" w:line="300" w:before="0" w:after="120"/>
        <w:jc w:val="both"/>
        <w:rPr/>
      </w:pPr>
      <w:r>
        <w:rPr/>
        <w:t>The embedding {y_i} minimizes the KL divergence KL(P‖Q) via gradient descent. The Student-t's heavier tail defeats the crowding problem that arises when projecting to 2D: there is insufficient geometric room to keep moderately distant points moderately apart, but the heavier tail produces a stronger repulsive force that compensates. Following standard practice (van der Maaten &amp; Hinton, 2008), t-SNE is applied on top of a 50-dimensional LSA pre-reduction for both speed and noise reduction.</w:t>
      </w:r>
    </w:p>
    <w:p>
      <w:pPr>
        <w:pStyle w:val="Heading2"/>
        <w:spacing w:before="280" w:after="140"/>
        <w:rPr/>
      </w:pPr>
      <w:r>
        <w:rPr>
          <w:b/>
          <w:bCs/>
        </w:rPr>
        <w:t>2.2. Datasets</w:t>
      </w:r>
    </w:p>
    <w:p>
      <w:pPr>
        <w:pStyle w:val="Heading3"/>
        <w:spacing w:before="280" w:after="140"/>
        <w:rPr/>
      </w:pPr>
      <w:r>
        <w:rPr>
          <w:b/>
          <w:bCs/>
        </w:rPr>
        <w:t>20 Newsgroups (English reference corpus)</w:t>
      </w:r>
    </w:p>
    <w:p>
      <w:pPr>
        <w:pStyle w:val="Normal"/>
        <w:spacing w:lineRule="exact" w:line="300" w:before="0" w:after="120"/>
        <w:jc w:val="both"/>
        <w:rPr/>
      </w:pPr>
      <w:r>
        <w:rPr/>
        <w:t>The 20 Newsgroups dataset is a NLP benchmark distributed with scikit-learn via fetch_20newsgroups. The full corpus contains approximately 18,000 Usenet discussion posts from the 1990s. A subset of six categories is used, chosen to mix clearly distinct topics with semantically adjacent ones:</w:t>
      </w:r>
    </w:p>
    <w:p>
      <w:pPr>
        <w:pStyle w:val="ListParagraph"/>
        <w:numPr>
          <w:ilvl w:val="0"/>
          <w:numId w:val="1"/>
        </w:numPr>
        <w:spacing w:lineRule="exact" w:line="280" w:before="0" w:after="80"/>
        <w:rPr/>
      </w:pPr>
      <w:r>
        <w:rPr/>
        <w:t>comp.graphics - computer graphics techniques and software</w:t>
      </w:r>
    </w:p>
    <w:p>
      <w:pPr>
        <w:pStyle w:val="ListParagraph"/>
        <w:numPr>
          <w:ilvl w:val="0"/>
          <w:numId w:val="1"/>
        </w:numPr>
        <w:spacing w:lineRule="exact" w:line="280" w:before="0" w:after="80"/>
        <w:rPr/>
      </w:pPr>
      <w:r>
        <w:rPr/>
        <w:t>rec.sport.hockey - sports discussion, results and player news</w:t>
      </w:r>
    </w:p>
    <w:p>
      <w:pPr>
        <w:pStyle w:val="ListParagraph"/>
        <w:numPr>
          <w:ilvl w:val="0"/>
          <w:numId w:val="1"/>
        </w:numPr>
        <w:spacing w:lineRule="exact" w:line="280" w:before="0" w:after="80"/>
        <w:rPr/>
      </w:pPr>
      <w:r>
        <w:rPr/>
        <w:t>sci.electronics - electronics projects, components and circuits</w:t>
      </w:r>
    </w:p>
    <w:p>
      <w:pPr>
        <w:pStyle w:val="ListParagraph"/>
        <w:numPr>
          <w:ilvl w:val="0"/>
          <w:numId w:val="1"/>
        </w:numPr>
        <w:spacing w:lineRule="exact" w:line="280" w:before="0" w:after="80"/>
        <w:rPr/>
      </w:pPr>
      <w:r>
        <w:rPr/>
        <w:t>sci.med - medical research, treatments and patient questions</w:t>
      </w:r>
    </w:p>
    <w:p>
      <w:pPr>
        <w:pStyle w:val="ListParagraph"/>
        <w:numPr>
          <w:ilvl w:val="0"/>
          <w:numId w:val="1"/>
        </w:numPr>
        <w:spacing w:lineRule="exact" w:line="280" w:before="0" w:after="80"/>
        <w:rPr/>
      </w:pPr>
      <w:r>
        <w:rPr/>
        <w:t>sci.space - space missions, astronomy and rocket technology</w:t>
      </w:r>
    </w:p>
    <w:p>
      <w:pPr>
        <w:pStyle w:val="ListParagraph"/>
        <w:numPr>
          <w:ilvl w:val="0"/>
          <w:numId w:val="1"/>
        </w:numPr>
        <w:spacing w:lineRule="exact" w:line="280" w:before="0" w:after="80"/>
        <w:rPr/>
      </w:pPr>
      <w:r>
        <w:rPr/>
        <w:t>talk.politics.guns - second amendment debate and firearms policy</w:t>
      </w:r>
    </w:p>
    <w:p>
      <w:pPr>
        <w:pStyle w:val="Normal"/>
        <w:spacing w:lineRule="exact" w:line="300" w:before="0" w:after="120"/>
        <w:jc w:val="both"/>
        <w:rPr/>
      </w:pPr>
      <w:r>
        <w:rPr/>
        <w:t>The three sci.* categories are deliberately adjacent: they share scientific register but entirely different vocabularies. After loading with remove=('headers', 'footers', 'quotes') to strip metadata that would leak class labels, and after cleaning and filtering documents shorter than five tokens, the corpus contains 5,640 documents with a mean length of 179.0 tokens and a TF-IDF matrix density of 0.52%.</w:t>
      </w:r>
    </w:p>
    <w:p>
      <w:pPr>
        <w:pStyle w:val="Heading3"/>
        <w:spacing w:before="280" w:after="140"/>
        <w:rPr/>
      </w:pPr>
      <w:r>
        <w:rPr>
          <w:b/>
          <w:bCs/>
        </w:rPr>
        <w:t>MOROCO (Romanian corpus)</w:t>
      </w:r>
    </w:p>
    <w:p>
      <w:pPr>
        <w:pStyle w:val="Normal"/>
        <w:spacing w:lineRule="exact" w:line="300" w:before="0" w:after="120"/>
        <w:jc w:val="both"/>
        <w:rPr/>
      </w:pPr>
      <w:r>
        <w:rPr/>
        <w:t>MOROCO (the Moldavian and Romanian Dialectal Corpus) was introduced by Butnaru and Ionescu (2019) and is available at github.com/butnaruandrei/MOROCO. It contains 33,564 news articles scraped from the five most popular news websites in Romania and the Republic of Moldova. All named entities have been replaced with the placeholder $NE$ by the dataset authors to prevent classifiers from relying on features unrelated to topic content.</w:t>
      </w:r>
    </w:p>
    <w:p>
      <w:pPr>
        <w:pStyle w:val="Normal"/>
        <w:spacing w:lineRule="exact" w:line="300" w:before="0" w:after="120"/>
        <w:jc w:val="both"/>
        <w:rPr/>
      </w:pPr>
      <w:r>
        <w:rPr/>
        <w:t>The dataset provides six topic categories: culture, finance, politics, science, sports, and tech. To match the scale of the 20 Newsgroups subset for a fair comparison, the training split (21,719 samples) is stratified-sampled to up to 900 documents per category. After Romanian-specific preprocessing (diacritic normalization ş→ș / ţ→ț, $NE$ removal, Romanian stopword removal) the corpus contains 5,383 documents with a mean length of 239.6 tokens and a TF-IDF matrix density of 0.77%.</w:t>
      </w:r>
    </w:p>
    <w:p>
      <w:pPr>
        <w:pStyle w:val="Normal"/>
        <w:spacing w:lineRule="exact" w:line="300" w:before="0" w:after="120"/>
        <w:jc w:val="both"/>
        <w:rPr/>
      </w:pPr>
      <w:r>
        <w:rPr/>
        <w:t>Table 1 summarizes the two corpora side by side.</w:t>
      </w:r>
    </w:p>
    <w:p>
      <w:pPr>
        <w:pStyle w:val="Normal"/>
        <w:spacing w:before="0" w:after="100"/>
        <w:rPr/>
      </w:pPr>
      <w:r>
        <w:rPr/>
      </w:r>
    </w:p>
    <w:tbl>
      <w:tblPr>
        <w:tblW w:w="8800" w:type="dxa"/>
        <w:jc w:val="left"/>
        <w:tblInd w:w="0" w:type="dxa"/>
        <w:tblLayout w:type="fixed"/>
        <w:tblCellMar>
          <w:top w:w="80" w:type="dxa"/>
          <w:left w:w="120" w:type="dxa"/>
          <w:bottom w:w="80" w:type="dxa"/>
          <w:right w:w="120" w:type="dxa"/>
        </w:tblCellMar>
      </w:tblPr>
      <w:tblGrid>
        <w:gridCol w:w="2200"/>
        <w:gridCol w:w="3300"/>
        <w:gridCol w:w="3300"/>
      </w:tblGrid>
      <w:tr>
        <w:trPr/>
        <w:tc>
          <w:tcPr>
            <w:tcW w:w="2200" w:type="dxa"/>
            <w:tcBorders>
              <w:top w:val="single" w:sz="2" w:space="0" w:color="CCCCCC"/>
              <w:left w:val="single" w:sz="2" w:space="0" w:color="CCCCCC"/>
              <w:bottom w:val="single" w:sz="2" w:space="0" w:color="CCCCCC"/>
              <w:right w:val="single" w:sz="2" w:space="0" w:color="CCCCCC"/>
            </w:tcBorders>
            <w:shd w:fill="D5E8F0" w:val="clear"/>
          </w:tcPr>
          <w:p>
            <w:pPr>
              <w:pStyle w:val="Normal"/>
              <w:jc w:val="left"/>
              <w:rPr/>
            </w:pPr>
            <w:r>
              <w:rPr/>
            </w:r>
          </w:p>
        </w:tc>
        <w:tc>
          <w:tcPr>
            <w:tcW w:w="3300"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20 Newsgroups (EN)</w:t>
            </w:r>
          </w:p>
        </w:tc>
        <w:tc>
          <w:tcPr>
            <w:tcW w:w="3300"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MOROCO (RO)</w:t>
            </w:r>
          </w:p>
        </w:tc>
      </w:tr>
      <w:tr>
        <w:trPr/>
        <w:tc>
          <w:tcPr>
            <w:tcW w:w="22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Documents</w:t>
            </w:r>
          </w:p>
        </w:tc>
        <w:tc>
          <w:tcPr>
            <w:tcW w:w="3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5,640</w:t>
            </w:r>
          </w:p>
        </w:tc>
        <w:tc>
          <w:tcPr>
            <w:tcW w:w="3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5,383</w:t>
            </w:r>
          </w:p>
        </w:tc>
      </w:tr>
      <w:tr>
        <w:trPr/>
        <w:tc>
          <w:tcPr>
            <w:tcW w:w="22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Categories</w:t>
            </w:r>
          </w:p>
        </w:tc>
        <w:tc>
          <w:tcPr>
            <w:tcW w:w="3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6</w:t>
            </w:r>
          </w:p>
        </w:tc>
        <w:tc>
          <w:tcPr>
            <w:tcW w:w="3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6</w:t>
            </w:r>
          </w:p>
        </w:tc>
      </w:tr>
      <w:tr>
        <w:trPr/>
        <w:tc>
          <w:tcPr>
            <w:tcW w:w="22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Vocabulary size</w:t>
            </w:r>
          </w:p>
        </w:tc>
        <w:tc>
          <w:tcPr>
            <w:tcW w:w="3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10,000</w:t>
            </w:r>
          </w:p>
        </w:tc>
        <w:tc>
          <w:tcPr>
            <w:tcW w:w="3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10,000</w:t>
            </w:r>
          </w:p>
        </w:tc>
      </w:tr>
      <w:tr>
        <w:trPr/>
        <w:tc>
          <w:tcPr>
            <w:tcW w:w="22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Matrix density</w:t>
            </w:r>
          </w:p>
        </w:tc>
        <w:tc>
          <w:tcPr>
            <w:tcW w:w="3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0.52%</w:t>
            </w:r>
          </w:p>
        </w:tc>
        <w:tc>
          <w:tcPr>
            <w:tcW w:w="3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0.77%</w:t>
            </w:r>
          </w:p>
        </w:tc>
      </w:tr>
      <w:tr>
        <w:trPr/>
        <w:tc>
          <w:tcPr>
            <w:tcW w:w="22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Mean tokens / doc</w:t>
            </w:r>
          </w:p>
        </w:tc>
        <w:tc>
          <w:tcPr>
            <w:tcW w:w="3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179.0</w:t>
            </w:r>
          </w:p>
        </w:tc>
        <w:tc>
          <w:tcPr>
            <w:tcW w:w="3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239.6</w:t>
            </w:r>
          </w:p>
        </w:tc>
      </w:tr>
      <w:tr>
        <w:trPr/>
        <w:tc>
          <w:tcPr>
            <w:tcW w:w="22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Language</w:t>
            </w:r>
          </w:p>
        </w:tc>
        <w:tc>
          <w:tcPr>
            <w:tcW w:w="3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English</w:t>
            </w:r>
          </w:p>
        </w:tc>
        <w:tc>
          <w:tcPr>
            <w:tcW w:w="3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Romanian</w:t>
            </w:r>
          </w:p>
        </w:tc>
      </w:tr>
      <w:tr>
        <w:trPr/>
        <w:tc>
          <w:tcPr>
            <w:tcW w:w="22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Source</w:t>
            </w:r>
          </w:p>
        </w:tc>
        <w:tc>
          <w:tcPr>
            <w:tcW w:w="3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Usenet newsgroup posts (1990s)</w:t>
            </w:r>
          </w:p>
        </w:tc>
        <w:tc>
          <w:tcPr>
            <w:tcW w:w="33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News articles (Romania &amp; Moldova)</w:t>
            </w:r>
          </w:p>
        </w:tc>
      </w:tr>
    </w:tbl>
    <w:p>
      <w:pPr>
        <w:pStyle w:val="Normal"/>
        <w:spacing w:before="80" w:after="240"/>
        <w:jc w:val="center"/>
        <w:rPr/>
      </w:pPr>
      <w:r>
        <w:rPr>
          <w:i/>
          <w:iCs/>
          <w:sz w:val="20"/>
          <w:szCs w:val="20"/>
        </w:rPr>
        <w:t>Table 1. Corpus statistics after preprocessing.</w:t>
      </w:r>
    </w:p>
    <w:p>
      <w:pPr>
        <w:pStyle w:val="Normal"/>
        <w:spacing w:lineRule="exact" w:line="300" w:before="0" w:after="120"/>
        <w:jc w:val="both"/>
        <w:rPr/>
      </w:pPr>
      <w:r>
        <w:rPr/>
        <w:t>Two preprocessing differences exist between corpora. For English, ASCII character filtering and the sklearn English stopword list are used. For Romanian, the character filter additionally keeps ă â î ș ț (Romanian alphabet), and an embedded 270-word Romanian stopword list handles articles, pronouns and common particles. In both cases no stemming is performed, following the convention of the original Deerwester LSA paper.</w:t>
      </w:r>
    </w:p>
    <w:p>
      <w:pPr>
        <w:pStyle w:val="Heading2"/>
        <w:spacing w:before="280" w:after="140"/>
        <w:rPr/>
      </w:pPr>
      <w:r>
        <w:rPr>
          <w:b/>
          <w:bCs/>
        </w:rPr>
        <w:t>2.3. Application Diagram</w:t>
      </w:r>
    </w:p>
    <w:p>
      <w:pPr>
        <w:pStyle w:val="Normal"/>
        <w:spacing w:lineRule="exact" w:line="300" w:before="0" w:after="120"/>
        <w:jc w:val="both"/>
        <w:rPr/>
      </w:pPr>
      <w:r>
        <w:rPr/>
        <w:t xml:space="preserve">The application is organized as a single preprocessing stage that produces a shared TF-IDF matrix, followed by three independent dimensionality reduction branches. PCA, LSA, and t-SNE each consume the same matrix and are evaluated separately </w:t>
      </w:r>
      <w:r>
        <w:rPr/>
        <w:t>(</w:t>
      </w:r>
      <w:r>
        <w:rPr/>
        <w:t>they are not stages that feed into each other</w:t>
      </w:r>
      <w:r>
        <w:rPr/>
        <w:t>)</w:t>
      </w:r>
      <w:r>
        <w:rPr/>
        <w:t>. The only chained step is the 50-dimensional LSA pre-reduction used as input to t-SNE, which is standard practice (van der Maaten &amp; Hinton, 2008) to avoid running t-SNE directly on the full 10,000-dimensional sparse matrix. Figure 1 below shows the complete pipeline.</w:t>
      </w:r>
    </w:p>
    <w:p>
      <w:pPr>
        <w:pStyle w:val="Normal"/>
        <w:spacing w:before="180" w:after="60"/>
        <w:jc w:val="center"/>
        <w:rPr/>
      </w:pPr>
      <w:r>
        <w:rPr/>
        <w:drawing>
          <wp:inline distT="0" distB="0" distL="0" distR="0">
            <wp:extent cx="5852160" cy="36576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852160" cy="3657600"/>
                    </a:xfrm>
                    <a:prstGeom prst="rect">
                      <a:avLst/>
                    </a:prstGeom>
                  </pic:spPr>
                </pic:pic>
              </a:graphicData>
            </a:graphic>
          </wp:inline>
        </w:drawing>
      </w:r>
    </w:p>
    <w:p>
      <w:pPr>
        <w:pStyle w:val="Normal"/>
        <w:spacing w:before="0" w:after="240"/>
        <w:jc w:val="center"/>
        <w:rPr/>
      </w:pPr>
      <w:r>
        <w:rPr>
          <w:i/>
          <w:iCs/>
          <w:sz w:val="20"/>
          <w:szCs w:val="20"/>
        </w:rPr>
        <w:t>Figure 1. Application architecture. A shared preprocessing stage produces the TF-IDF matrix, which feeds three parallel reduction methods. Each method has its own evaluation outputs.</w:t>
      </w:r>
    </w:p>
    <w:p>
      <w:pPr>
        <w:pStyle w:val="Normal"/>
        <w:spacing w:lineRule="exact" w:line="300" w:before="0" w:after="120"/>
        <w:jc w:val="both"/>
        <w:rPr/>
      </w:pPr>
      <w:r>
        <w:rPr/>
        <w:t>The pipeline is run independently for each corpus: python prepare_data.py --corpus 20news prepares the English data and python prepare_data.py --corpus moroco prepares the Romanian data. All artefacts are written to data/&lt;corpus&gt;/ and figures/&lt;corpus&gt;/ so the two runs never overwrite each other and can be compared directly.</w:t>
      </w:r>
    </w:p>
    <w:p>
      <w:pPr>
        <w:pStyle w:val="Heading1"/>
        <w:spacing w:before="280" w:after="140"/>
        <w:rPr/>
      </w:pPr>
      <w:r>
        <w:rPr>
          <w:b/>
          <w:bCs/>
        </w:rPr>
        <w:t>3. Implementation Details</w:t>
      </w:r>
    </w:p>
    <w:p>
      <w:pPr>
        <w:pStyle w:val="Normal"/>
        <w:spacing w:lineRule="exact" w:line="300" w:before="0" w:after="120"/>
        <w:jc w:val="both"/>
        <w:rPr/>
      </w:pPr>
      <w:r>
        <w:rPr/>
        <w:t>The implementation is written in Python 3.12 using standard scientific libraries. All scripts are corpus-agnostic: they read data/&lt;corpus&gt;/tfidf_matrix.npz and write results back to data/&lt;corpus&gt;/, so adding a new corpus requires only a new loader in prepare_data.py.</w:t>
      </w:r>
    </w:p>
    <w:p>
      <w:pPr>
        <w:pStyle w:val="Heading3"/>
        <w:spacing w:before="280" w:after="140"/>
        <w:rPr/>
      </w:pPr>
      <w:r>
        <w:rPr>
          <w:b/>
          <w:bCs/>
        </w:rPr>
        <w:t>Libraries</w:t>
      </w:r>
    </w:p>
    <w:p>
      <w:pPr>
        <w:pStyle w:val="ListParagraph"/>
        <w:numPr>
          <w:ilvl w:val="0"/>
          <w:numId w:val="1"/>
        </w:numPr>
        <w:spacing w:lineRule="exact" w:line="280" w:before="0" w:after="80"/>
        <w:rPr/>
      </w:pPr>
      <w:r>
        <w:rPr>
          <w:b/>
          <w:bCs/>
        </w:rPr>
        <w:t>Scikit-learn 1.8</w:t>
      </w:r>
      <w:r>
        <w:rPr/>
        <w:t xml:space="preserve"> --&gt; fetch_20newsgroups corpus loader, TfidfVectorizer for preprocessing, PCA and TruncatedSVD for linear reduction, TSNE for non-linear embedding, LogisticRegression + StratifiedKFold for 5-fold CV evaluation, cosine_similarity for retrieval mAP.</w:t>
      </w:r>
    </w:p>
    <w:p>
      <w:pPr>
        <w:pStyle w:val="ListParagraph"/>
        <w:numPr>
          <w:ilvl w:val="0"/>
          <w:numId w:val="1"/>
        </w:numPr>
        <w:spacing w:lineRule="exact" w:line="280" w:before="0" w:after="80"/>
        <w:rPr/>
      </w:pPr>
      <w:r>
        <w:rPr>
          <w:b/>
          <w:bCs/>
        </w:rPr>
        <w:t>scipy.sparse</w:t>
      </w:r>
      <w:r>
        <w:rPr/>
        <w:t xml:space="preserve"> --&gt; stores the TF-IDF matrix in CSR sparse format; over 99% of entries are zero, so dense storage would be approximately 400 MB per corpus vs. 3 MB sparse.</w:t>
      </w:r>
    </w:p>
    <w:p>
      <w:pPr>
        <w:pStyle w:val="ListParagraph"/>
        <w:numPr>
          <w:ilvl w:val="0"/>
          <w:numId w:val="1"/>
        </w:numPr>
        <w:spacing w:lineRule="exact" w:line="280" w:before="0" w:after="80"/>
        <w:rPr/>
      </w:pPr>
      <w:r>
        <w:rPr>
          <w:b/>
          <w:bCs/>
        </w:rPr>
        <w:t>Numpy</w:t>
      </w:r>
      <w:r>
        <w:rPr/>
        <w:t xml:space="preserve"> --&gt; array operations, argsort-based ranking for retrieval mAP, persistence of embedding matrices.</w:t>
      </w:r>
    </w:p>
    <w:p>
      <w:pPr>
        <w:pStyle w:val="ListParagraph"/>
        <w:numPr>
          <w:ilvl w:val="0"/>
          <w:numId w:val="1"/>
        </w:numPr>
        <w:spacing w:lineRule="exact" w:line="280" w:before="0" w:after="80"/>
        <w:rPr/>
      </w:pPr>
      <w:r>
        <w:rPr>
          <w:b/>
          <w:bCs/>
        </w:rPr>
        <w:t>Matplotlib</w:t>
      </w:r>
      <w:r>
        <w:rPr/>
        <w:t xml:space="preserve"> --&gt; all figures: scatter plots, error-bar accuracy charts, bar charts for topic terms, multi-panel comparison layouts.</w:t>
      </w:r>
    </w:p>
    <w:p>
      <w:pPr>
        <w:pStyle w:val="ListParagraph"/>
        <w:numPr>
          <w:ilvl w:val="0"/>
          <w:numId w:val="1"/>
        </w:numPr>
        <w:spacing w:lineRule="exact" w:line="280" w:before="0" w:after="80"/>
        <w:rPr/>
      </w:pPr>
      <w:r>
        <w:rPr>
          <w:b/>
          <w:bCs/>
        </w:rPr>
        <w:t>urllib (stdlib)</w:t>
      </w:r>
      <w:r>
        <w:rPr/>
        <w:t xml:space="preserve"> --&gt; downloads MOROCO directly from GitHub (github.com/butnaruandrei/MOROCO). No third-party datasets library is required; files are cached locally after the first run.</w:t>
      </w:r>
    </w:p>
    <w:p>
      <w:pPr>
        <w:pStyle w:val="Heading3"/>
        <w:spacing w:before="280" w:after="140"/>
        <w:rPr/>
      </w:pPr>
      <w:r>
        <w:rPr>
          <w:b/>
          <w:bCs/>
        </w:rPr>
        <w:t>Project structure</w:t>
      </w:r>
    </w:p>
    <w:p>
      <w:pPr>
        <w:pStyle w:val="Normal"/>
        <w:shd w:val="clear" w:fill="F4F4F4"/>
        <w:spacing w:lineRule="exact" w:line="260" w:before="0" w:after="120"/>
        <w:rPr/>
      </w:pPr>
      <w:r>
        <w:rPr>
          <w:rFonts w:eastAsia="Consolas" w:cs="Consolas" w:ascii="Consolas" w:hAnsi="Consolas"/>
          <w:sz w:val="18"/>
          <w:szCs w:val="18"/>
        </w:rPr>
        <w:t xml:space="preserve">  </w:t>
      </w:r>
      <w:r>
        <w:rPr>
          <w:rFonts w:eastAsia="Consolas" w:cs="Consolas" w:ascii="Consolas" w:hAnsi="Consolas"/>
          <w:sz w:val="18"/>
          <w:szCs w:val="18"/>
        </w:rPr>
        <w:t>prepare_data.py       corpus → TF-IDF matrix (--corpus 20news | moroco)</w:t>
      </w:r>
    </w:p>
    <w:p>
      <w:pPr>
        <w:pStyle w:val="Normal"/>
        <w:shd w:val="clear" w:fill="F4F4F4"/>
        <w:spacing w:lineRule="exact" w:line="260" w:before="0" w:after="120"/>
        <w:rPr/>
      </w:pPr>
      <w:r>
        <w:rPr>
          <w:rFonts w:eastAsia="Consolas" w:cs="Consolas" w:ascii="Consolas" w:hAnsi="Consolas"/>
          <w:sz w:val="18"/>
          <w:szCs w:val="18"/>
        </w:rPr>
        <w:t xml:space="preserve">  </w:t>
      </w:r>
      <w:r>
        <w:rPr>
          <w:rFonts w:eastAsia="Consolas" w:cs="Consolas" w:ascii="Consolas" w:hAnsi="Consolas"/>
          <w:sz w:val="18"/>
          <w:szCs w:val="18"/>
        </w:rPr>
        <w:t>pca.py &lt;corpus&gt;        PCA + comparison vs uncentered TruncatedSVD</w:t>
      </w:r>
    </w:p>
    <w:p>
      <w:pPr>
        <w:pStyle w:val="Normal"/>
        <w:shd w:val="clear" w:fill="F4F4F4"/>
        <w:spacing w:lineRule="exact" w:line="260" w:before="0" w:after="120"/>
        <w:rPr/>
      </w:pPr>
      <w:r>
        <w:rPr>
          <w:rFonts w:eastAsia="Consolas" w:cs="Consolas" w:ascii="Consolas" w:hAnsi="Consolas"/>
          <w:sz w:val="18"/>
          <w:szCs w:val="18"/>
        </w:rPr>
        <w:t xml:space="preserve">  </w:t>
      </w:r>
      <w:r>
        <w:rPr>
          <w:rFonts w:eastAsia="Consolas" w:cs="Consolas" w:ascii="Consolas" w:hAnsi="Consolas"/>
          <w:sz w:val="18"/>
          <w:szCs w:val="18"/>
        </w:rPr>
        <w:t>lsa.py &lt;corpus&gt;        LSA: classification, retrieval mAP, topic inspection</w:t>
      </w:r>
    </w:p>
    <w:p>
      <w:pPr>
        <w:pStyle w:val="Normal"/>
        <w:shd w:val="clear" w:fill="F4F4F4"/>
        <w:spacing w:lineRule="exact" w:line="260" w:before="0" w:after="120"/>
        <w:rPr/>
      </w:pPr>
      <w:r>
        <w:rPr>
          <w:rFonts w:eastAsia="Consolas" w:cs="Consolas" w:ascii="Consolas" w:hAnsi="Consolas"/>
          <w:sz w:val="18"/>
          <w:szCs w:val="18"/>
        </w:rPr>
        <w:t xml:space="preserve">  </w:t>
      </w:r>
      <w:r>
        <w:rPr>
          <w:rFonts w:eastAsia="Consolas" w:cs="Consolas" w:ascii="Consolas" w:hAnsi="Consolas"/>
          <w:sz w:val="18"/>
          <w:szCs w:val="18"/>
        </w:rPr>
        <w:t>tsne.py &lt;corpus&gt;       t-SNE perplexity sweep + 2D comparison</w:t>
      </w:r>
    </w:p>
    <w:p>
      <w:pPr>
        <w:pStyle w:val="Normal"/>
        <w:shd w:val="clear" w:fill="F4F4F4"/>
        <w:spacing w:lineRule="exact" w:line="260" w:before="0" w:after="120"/>
        <w:rPr/>
      </w:pPr>
      <w:r>
        <w:rPr>
          <w:rFonts w:eastAsia="Consolas" w:cs="Consolas" w:ascii="Consolas" w:hAnsi="Consolas"/>
          <w:sz w:val="18"/>
          <w:szCs w:val="18"/>
        </w:rPr>
        <w:t xml:space="preserve">  </w:t>
      </w:r>
      <w:r>
        <w:rPr>
          <w:rFonts w:eastAsia="Consolas" w:cs="Consolas" w:ascii="Consolas" w:hAnsi="Consolas"/>
          <w:sz w:val="18"/>
          <w:szCs w:val="18"/>
        </w:rPr>
        <w:t>synthetic_corpus.py   offline fallback for 20news (no internet needed)</w:t>
      </w:r>
    </w:p>
    <w:p>
      <w:pPr>
        <w:pStyle w:val="Normal"/>
        <w:shd w:val="clear" w:fill="F4F4F4"/>
        <w:spacing w:lineRule="exact" w:line="260" w:before="0" w:after="120"/>
        <w:rPr/>
      </w:pPr>
      <w:r>
        <w:rPr>
          <w:rFonts w:eastAsia="Consolas" w:cs="Consolas" w:ascii="Consolas" w:hAnsi="Consolas"/>
          <w:sz w:val="18"/>
          <w:szCs w:val="18"/>
        </w:rPr>
        <w:t xml:space="preserve">  </w:t>
      </w:r>
      <w:r>
        <w:rPr>
          <w:rFonts w:eastAsia="Consolas" w:cs="Consolas" w:ascii="Consolas" w:hAnsi="Consolas"/>
          <w:sz w:val="18"/>
          <w:szCs w:val="18"/>
        </w:rPr>
        <w:t>data/&lt;corpus&gt;/         TF-IDF matrix, labels, vocabulary, JSON results</w:t>
      </w:r>
    </w:p>
    <w:p>
      <w:pPr>
        <w:pStyle w:val="Normal"/>
        <w:shd w:val="clear" w:fill="F4F4F4"/>
        <w:spacing w:lineRule="exact" w:line="260" w:before="0" w:after="120"/>
        <w:rPr/>
      </w:pPr>
      <w:r>
        <w:rPr>
          <w:rFonts w:eastAsia="Consolas" w:cs="Consolas" w:ascii="Consolas" w:hAnsi="Consolas"/>
          <w:sz w:val="18"/>
          <w:szCs w:val="18"/>
        </w:rPr>
        <w:t xml:space="preserve">  </w:t>
      </w:r>
      <w:r>
        <w:rPr>
          <w:rFonts w:eastAsia="Consolas" w:cs="Consolas" w:ascii="Consolas" w:hAnsi="Consolas"/>
          <w:sz w:val="18"/>
          <w:szCs w:val="18"/>
        </w:rPr>
        <w:t>figures/&lt;corpus&gt;/      PNG figures for each experiment</w:t>
      </w:r>
    </w:p>
    <w:p>
      <w:pPr>
        <w:pStyle w:val="Heading3"/>
        <w:spacing w:before="280" w:after="140"/>
        <w:rPr/>
      </w:pPr>
      <w:r>
        <w:rPr>
          <w:b/>
          <w:bCs/>
        </w:rPr>
        <w:t>Key implementation choices</w:t>
      </w:r>
    </w:p>
    <w:p>
      <w:pPr>
        <w:pStyle w:val="Normal"/>
        <w:spacing w:lineRule="exact" w:line="300" w:before="0" w:after="120"/>
        <w:jc w:val="both"/>
        <w:rPr/>
      </w:pPr>
      <w:r>
        <w:rPr/>
        <w:t>PCA is fitted once at the largest k and smaller-k results are obtained by column-truncation, avoiding redundant eigendecompositions. LSA uses randomized SVD with seven power iterations (TruncatedSVD algorithm='randomized'), the standard choice for large sparse text matrices. t-SNE uses cosine distance as its metric (appropriate for L2-normalized TF-IDF vectors), PCA initialization for stability, and 1,000 gradient descent iterations. Retrieval mAP is computed from scratch in NumPy: each document is a query, all others are ranked by cosine similarity in the latent space, and AP is the area under the precision-recall curve restricted to same-category documents.</w:t>
      </w:r>
    </w:p>
    <w:p>
      <w:pPr>
        <w:pStyle w:val="Heading1"/>
        <w:spacing w:before="280" w:after="140"/>
        <w:rPr/>
      </w:pPr>
      <w:r>
        <w:rPr>
          <w:b/>
          <w:bCs/>
        </w:rPr>
        <w:t>4. Experiments and Results</w:t>
      </w:r>
    </w:p>
    <w:p>
      <w:pPr>
        <w:pStyle w:val="Normal"/>
        <w:spacing w:lineRule="exact" w:line="300" w:before="0" w:after="120"/>
        <w:jc w:val="both"/>
        <w:rPr/>
      </w:pPr>
      <w:r>
        <w:rPr/>
        <w:t>All experiments are run at five values of k ∈ {10, 25, 50, 100, 200} on both corpora. Numbers in the tables and figures below are from the real corpora; the synthetic fallback corpus is used only for offline development.</w:t>
      </w:r>
    </w:p>
    <w:p>
      <w:pPr>
        <w:pStyle w:val="Heading2"/>
        <w:spacing w:before="280" w:after="140"/>
        <w:rPr/>
      </w:pPr>
      <w:r>
        <w:rPr>
          <w:b/>
          <w:bCs/>
        </w:rPr>
        <w:t>4.1. PCA - Explained Variance and Classification</w:t>
      </w:r>
    </w:p>
    <w:p>
      <w:pPr>
        <w:pStyle w:val="Normal"/>
        <w:spacing w:lineRule="exact" w:line="300" w:before="0" w:after="120"/>
        <w:jc w:val="both"/>
        <w:rPr/>
      </w:pPr>
      <w:r>
        <w:rPr/>
        <w:t>Table 2 reports the cumulative explained variance ratio and 5-fold cross-validated logistic regression classification accuracy for PCA (centered) on both corpora at each k value.</w:t>
      </w:r>
    </w:p>
    <w:p>
      <w:pPr>
        <w:pStyle w:val="Normal"/>
        <w:spacing w:before="0" w:after="100"/>
        <w:rPr/>
      </w:pPr>
      <w:r>
        <w:rPr/>
      </w:r>
    </w:p>
    <w:tbl>
      <w:tblPr>
        <w:tblW w:w="8800" w:type="dxa"/>
        <w:jc w:val="left"/>
        <w:tblInd w:w="0" w:type="dxa"/>
        <w:tblLayout w:type="fixed"/>
        <w:tblCellMar>
          <w:top w:w="80" w:type="dxa"/>
          <w:left w:w="120" w:type="dxa"/>
          <w:bottom w:w="80" w:type="dxa"/>
          <w:right w:w="120" w:type="dxa"/>
        </w:tblCellMar>
      </w:tblPr>
      <w:tblGrid>
        <w:gridCol w:w="799"/>
        <w:gridCol w:w="2001"/>
        <w:gridCol w:w="2000"/>
        <w:gridCol w:w="1999"/>
        <w:gridCol w:w="2001"/>
      </w:tblGrid>
      <w:tr>
        <w:trPr/>
        <w:tc>
          <w:tcPr>
            <w:tcW w:w="799" w:type="dxa"/>
            <w:tcBorders>
              <w:top w:val="single" w:sz="2" w:space="0" w:color="CCCCCC"/>
              <w:left w:val="single" w:sz="2" w:space="0" w:color="CCCCCC"/>
              <w:bottom w:val="single" w:sz="2" w:space="0" w:color="CCCCCC"/>
              <w:right w:val="single" w:sz="2" w:space="0" w:color="CCCCCC"/>
            </w:tcBorders>
            <w:shd w:fill="D5E8F0" w:val="clear"/>
          </w:tcPr>
          <w:p>
            <w:pPr>
              <w:pStyle w:val="Normal"/>
              <w:jc w:val="left"/>
              <w:rPr/>
            </w:pPr>
            <w:r>
              <w:rPr>
                <w:b/>
                <w:bCs/>
                <w:sz w:val="20"/>
                <w:szCs w:val="20"/>
              </w:rPr>
              <w:t>k</w:t>
            </w:r>
          </w:p>
        </w:tc>
        <w:tc>
          <w:tcPr>
            <w:tcW w:w="2001"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EN explained var.</w:t>
            </w:r>
          </w:p>
        </w:tc>
        <w:tc>
          <w:tcPr>
            <w:tcW w:w="2000"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EN accuracy</w:t>
            </w:r>
          </w:p>
        </w:tc>
        <w:tc>
          <w:tcPr>
            <w:tcW w:w="1999"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RO explained var.</w:t>
            </w:r>
          </w:p>
        </w:tc>
        <w:tc>
          <w:tcPr>
            <w:tcW w:w="2001"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RO accuracy</w:t>
            </w:r>
          </w:p>
        </w:tc>
      </w:tr>
      <w:tr>
        <w:trPr/>
        <w:tc>
          <w:tcPr>
            <w:tcW w:w="799"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10</w:t>
            </w:r>
          </w:p>
        </w:tc>
        <w:tc>
          <w:tcPr>
            <w:tcW w:w="2001"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0.0313</w:t>
            </w:r>
          </w:p>
        </w:tc>
        <w:tc>
          <w:tcPr>
            <w:tcW w:w="20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0.8282</w:t>
            </w:r>
          </w:p>
        </w:tc>
        <w:tc>
          <w:tcPr>
            <w:tcW w:w="1999"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0.0358</w:t>
            </w:r>
          </w:p>
        </w:tc>
        <w:tc>
          <w:tcPr>
            <w:tcW w:w="2001"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0.7544</w:t>
            </w:r>
          </w:p>
        </w:tc>
      </w:tr>
      <w:tr>
        <w:trPr/>
        <w:tc>
          <w:tcPr>
            <w:tcW w:w="799"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25</w:t>
            </w:r>
          </w:p>
        </w:tc>
        <w:tc>
          <w:tcPr>
            <w:tcW w:w="2001"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0.0556</w:t>
            </w:r>
          </w:p>
        </w:tc>
        <w:tc>
          <w:tcPr>
            <w:tcW w:w="20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0.8482</w:t>
            </w:r>
          </w:p>
        </w:tc>
        <w:tc>
          <w:tcPr>
            <w:tcW w:w="1999"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0.0599</w:t>
            </w:r>
          </w:p>
        </w:tc>
        <w:tc>
          <w:tcPr>
            <w:tcW w:w="2001"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0.7849</w:t>
            </w:r>
          </w:p>
        </w:tc>
      </w:tr>
      <w:tr>
        <w:trPr/>
        <w:tc>
          <w:tcPr>
            <w:tcW w:w="799"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50</w:t>
            </w:r>
          </w:p>
        </w:tc>
        <w:tc>
          <w:tcPr>
            <w:tcW w:w="2001"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0.0876</w:t>
            </w:r>
          </w:p>
        </w:tc>
        <w:tc>
          <w:tcPr>
            <w:tcW w:w="20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0.8566</w:t>
            </w:r>
          </w:p>
        </w:tc>
        <w:tc>
          <w:tcPr>
            <w:tcW w:w="1999"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0.0870</w:t>
            </w:r>
          </w:p>
        </w:tc>
        <w:tc>
          <w:tcPr>
            <w:tcW w:w="2001"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0.8007</w:t>
            </w:r>
          </w:p>
        </w:tc>
      </w:tr>
      <w:tr>
        <w:trPr/>
        <w:tc>
          <w:tcPr>
            <w:tcW w:w="799"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100</w:t>
            </w:r>
          </w:p>
        </w:tc>
        <w:tc>
          <w:tcPr>
            <w:tcW w:w="2001"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0.1396</w:t>
            </w:r>
          </w:p>
        </w:tc>
        <w:tc>
          <w:tcPr>
            <w:tcW w:w="20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0.8677</w:t>
            </w:r>
          </w:p>
        </w:tc>
        <w:tc>
          <w:tcPr>
            <w:tcW w:w="1999"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0.1297</w:t>
            </w:r>
          </w:p>
        </w:tc>
        <w:tc>
          <w:tcPr>
            <w:tcW w:w="2001"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0.8135</w:t>
            </w:r>
          </w:p>
        </w:tc>
      </w:tr>
      <w:tr>
        <w:trPr/>
        <w:tc>
          <w:tcPr>
            <w:tcW w:w="799"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200</w:t>
            </w:r>
          </w:p>
        </w:tc>
        <w:tc>
          <w:tcPr>
            <w:tcW w:w="2001"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0.2202</w:t>
            </w:r>
          </w:p>
        </w:tc>
        <w:tc>
          <w:tcPr>
            <w:tcW w:w="20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0.8715</w:t>
            </w:r>
          </w:p>
        </w:tc>
        <w:tc>
          <w:tcPr>
            <w:tcW w:w="1999"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0.1973</w:t>
            </w:r>
          </w:p>
        </w:tc>
        <w:tc>
          <w:tcPr>
            <w:tcW w:w="2001"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0.8166</w:t>
            </w:r>
          </w:p>
        </w:tc>
      </w:tr>
    </w:tbl>
    <w:p>
      <w:pPr>
        <w:pStyle w:val="Normal"/>
        <w:spacing w:before="80" w:after="240"/>
        <w:jc w:val="center"/>
        <w:rPr/>
      </w:pPr>
      <w:r>
        <w:rPr>
          <w:i/>
          <w:iCs/>
          <w:sz w:val="20"/>
          <w:szCs w:val="20"/>
        </w:rPr>
        <w:t>Table 2. PCA explained variance and classification accuracy.</w:t>
      </w:r>
    </w:p>
    <w:p>
      <w:pPr>
        <w:pStyle w:val="Normal"/>
        <w:spacing w:lineRule="exact" w:line="300" w:before="0" w:after="120"/>
        <w:jc w:val="both"/>
        <w:rPr/>
      </w:pPr>
      <w:r>
        <w:rPr/>
        <w:t>On 20 Newsgroups, PCA captures 3.13% of the variance in just k = 10 dimensions and achieves 82.82% classification accuracy, rising to 87.15% at k = 200. On MOROCO the accuracy is consistently lower by roughly 5–6 percentage points across all k values (75.44% at k = 10, 81.66% at k = 200), consistent with MOROCO being a harder classification task: the six news categories share a common journalistic register and named entities have been removed, reducing discriminative surface features.</w:t>
      </w:r>
    </w:p>
    <w:p>
      <w:pPr>
        <w:pStyle w:val="Normal"/>
        <w:spacing w:lineRule="exact" w:line="300" w:before="0" w:after="120"/>
        <w:jc w:val="both"/>
        <w:rPr/>
      </w:pPr>
      <w:r>
        <w:rPr/>
        <w:t xml:space="preserve">The explained variance at each k is slightly lower on MOROCO than on English (e.g., 19.7% vs. 22.0% at k = 200). This is consistent with Romanian's </w:t>
      </w:r>
      <w:r>
        <w:rPr/>
        <w:t xml:space="preserve">rather </w:t>
      </w:r>
      <w:r>
        <w:rPr/>
        <w:t>rich morphology: more surface-form variation per underlying concept means the covariance structure is spread across more dimensions, so each retained principal component captures a smaller fraction of the total variance. Note that PCA and uncentered TruncatedSVD produce essentially identical accuracy curves at every k on both corpora, confirming the theoretical claim that mean-centering has negligible effect on sparse TF-IDF matrices.</w:t>
      </w:r>
    </w:p>
    <w:p>
      <w:pPr>
        <w:pStyle w:val="Heading2"/>
        <w:spacing w:before="280" w:after="140"/>
        <w:rPr/>
      </w:pPr>
      <w:r>
        <w:rPr>
          <w:b/>
          <w:bCs/>
        </w:rPr>
        <w:t>4.2. LSA - Retrieval, Classification, and Topic Interpretability</w:t>
      </w:r>
    </w:p>
    <w:p>
      <w:pPr>
        <w:pStyle w:val="Normal"/>
        <w:spacing w:lineRule="exact" w:line="300" w:before="0" w:after="120"/>
        <w:jc w:val="both"/>
        <w:rPr/>
      </w:pPr>
      <w:r>
        <w:rPr/>
        <w:t>LSA is evaluated on three metrics: explained variance (identical to PCA's uncentered SVD), classification accuracy, and retrieval mAP. Table 3 reports all three for both corpora, with the raw TF-IDF baseline in the last row.</w:t>
      </w:r>
    </w:p>
    <w:p>
      <w:pPr>
        <w:pStyle w:val="Normal"/>
        <w:spacing w:before="0" w:after="100"/>
        <w:rPr/>
      </w:pPr>
      <w:r>
        <w:rPr/>
      </w:r>
    </w:p>
    <w:tbl>
      <w:tblPr>
        <w:tblW w:w="7300" w:type="dxa"/>
        <w:jc w:val="left"/>
        <w:tblInd w:w="0" w:type="dxa"/>
        <w:tblLayout w:type="fixed"/>
        <w:tblCellMar>
          <w:top w:w="80" w:type="dxa"/>
          <w:left w:w="120" w:type="dxa"/>
          <w:bottom w:w="80" w:type="dxa"/>
          <w:right w:w="120" w:type="dxa"/>
        </w:tblCellMar>
      </w:tblPr>
      <w:tblGrid>
        <w:gridCol w:w="700"/>
        <w:gridCol w:w="1100"/>
        <w:gridCol w:w="1100"/>
        <w:gridCol w:w="1099"/>
        <w:gridCol w:w="1100"/>
        <w:gridCol w:w="1100"/>
        <w:gridCol w:w="1100"/>
      </w:tblGrid>
      <w:tr>
        <w:trPr/>
        <w:tc>
          <w:tcPr>
            <w:tcW w:w="700" w:type="dxa"/>
            <w:tcBorders>
              <w:top w:val="single" w:sz="2" w:space="0" w:color="CCCCCC"/>
              <w:left w:val="single" w:sz="2" w:space="0" w:color="CCCCCC"/>
              <w:bottom w:val="single" w:sz="2" w:space="0" w:color="CCCCCC"/>
              <w:right w:val="single" w:sz="2" w:space="0" w:color="CCCCCC"/>
            </w:tcBorders>
            <w:shd w:fill="D5E8F0" w:val="clear"/>
          </w:tcPr>
          <w:p>
            <w:pPr>
              <w:pStyle w:val="Normal"/>
              <w:jc w:val="left"/>
              <w:rPr/>
            </w:pPr>
            <w:r>
              <w:rPr>
                <w:b/>
                <w:bCs/>
                <w:sz w:val="20"/>
                <w:szCs w:val="20"/>
              </w:rPr>
              <w:t>k</w:t>
            </w:r>
          </w:p>
        </w:tc>
        <w:tc>
          <w:tcPr>
            <w:tcW w:w="1100"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EN var.</w:t>
            </w:r>
          </w:p>
        </w:tc>
        <w:tc>
          <w:tcPr>
            <w:tcW w:w="1100"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EN acc.</w:t>
            </w:r>
          </w:p>
        </w:tc>
        <w:tc>
          <w:tcPr>
            <w:tcW w:w="1099"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EN mAP</w:t>
            </w:r>
          </w:p>
        </w:tc>
        <w:tc>
          <w:tcPr>
            <w:tcW w:w="1100"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RO var.</w:t>
            </w:r>
          </w:p>
        </w:tc>
        <w:tc>
          <w:tcPr>
            <w:tcW w:w="1100"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RO acc.</w:t>
            </w:r>
          </w:p>
        </w:tc>
        <w:tc>
          <w:tcPr>
            <w:tcW w:w="1100"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RO mAP</w:t>
            </w:r>
          </w:p>
        </w:tc>
      </w:tr>
      <w:tr>
        <w:trPr/>
        <w:tc>
          <w:tcPr>
            <w:tcW w:w="7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10</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0.0309</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0.8300</w:t>
            </w:r>
          </w:p>
        </w:tc>
        <w:tc>
          <w:tcPr>
            <w:tcW w:w="1099"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0.5945</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0.0348</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0.7539</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0.5081</w:t>
            </w:r>
          </w:p>
        </w:tc>
      </w:tr>
      <w:tr>
        <w:trPr/>
        <w:tc>
          <w:tcPr>
            <w:tcW w:w="7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25</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0.0553</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0.8482</w:t>
            </w:r>
          </w:p>
        </w:tc>
        <w:tc>
          <w:tcPr>
            <w:tcW w:w="1099"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0.4945</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0.0595</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0.7854</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0.4513</w:t>
            </w:r>
          </w:p>
        </w:tc>
      </w:tr>
      <w:tr>
        <w:trPr/>
        <w:tc>
          <w:tcPr>
            <w:tcW w:w="7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50</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0.0873</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0.8574</w:t>
            </w:r>
          </w:p>
        </w:tc>
        <w:tc>
          <w:tcPr>
            <w:tcW w:w="1099"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0.4379</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0.0866</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0.8012</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0.4207</w:t>
            </w:r>
          </w:p>
        </w:tc>
      </w:tr>
      <w:tr>
        <w:trPr/>
        <w:tc>
          <w:tcPr>
            <w:tcW w:w="7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100</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0.1394</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0.8693</w:t>
            </w:r>
          </w:p>
        </w:tc>
        <w:tc>
          <w:tcPr>
            <w:tcW w:w="1099"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0.3892</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0.1294</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0.8133</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0.3920</w:t>
            </w:r>
          </w:p>
        </w:tc>
      </w:tr>
      <w:tr>
        <w:trPr/>
        <w:tc>
          <w:tcPr>
            <w:tcW w:w="7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200</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0.2200</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0.8718</w:t>
            </w:r>
          </w:p>
        </w:tc>
        <w:tc>
          <w:tcPr>
            <w:tcW w:w="1099"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0.3529</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0.1971</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0.8163</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0.3663</w:t>
            </w:r>
          </w:p>
        </w:tc>
      </w:tr>
      <w:tr>
        <w:trPr/>
        <w:tc>
          <w:tcPr>
            <w:tcW w:w="7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raw TF-IDF</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0.8888</w:t>
            </w:r>
          </w:p>
        </w:tc>
        <w:tc>
          <w:tcPr>
            <w:tcW w:w="1099"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0.3086</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0.8243</w:t>
            </w:r>
          </w:p>
        </w:tc>
        <w:tc>
          <w:tcPr>
            <w:tcW w:w="11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0.3308</w:t>
            </w:r>
          </w:p>
        </w:tc>
      </w:tr>
    </w:tbl>
    <w:p>
      <w:pPr>
        <w:pStyle w:val="Normal"/>
        <w:spacing w:before="80" w:after="240"/>
        <w:jc w:val="center"/>
        <w:rPr/>
      </w:pPr>
      <w:r>
        <w:rPr>
          <w:i/>
          <w:iCs/>
          <w:sz w:val="20"/>
          <w:szCs w:val="20"/>
        </w:rPr>
        <w:t>Table 3. LSA metrics at each k, with raw TF-IDF baseline. mAP = mean Average Precision.</w:t>
      </w:r>
    </w:p>
    <w:p>
      <w:pPr>
        <w:pStyle w:val="Heading3"/>
        <w:spacing w:before="280" w:after="140"/>
        <w:rPr/>
      </w:pPr>
      <w:r>
        <w:rPr>
          <w:b/>
          <w:bCs/>
        </w:rPr>
        <w:t>Retrieval mAP - the headline finding</w:t>
      </w:r>
    </w:p>
    <w:p>
      <w:pPr>
        <w:pStyle w:val="Normal"/>
        <w:spacing w:lineRule="exact" w:line="300" w:before="0" w:after="120"/>
        <w:jc w:val="both"/>
        <w:rPr/>
      </w:pPr>
      <w:r>
        <w:rPr/>
        <w:t>The retrieval mAP curve is the most important result of the project. On 20 Newsgroups, LSA at k = 10 achieves a mAP of 0.5945, compared to a raw TF-IDF baseline of 0.3086 — an improvement of 92.6%. On MOROCO, k = 10 yields mAP = 0.5081 against a baseline of 0.3308, an improvement of 53.6%. In both cases the mAP curve decreases monotonically as k grows and converges toward the raw-TF-IDF baseline at k = 200, exactly reproducing the finding of Deerwester et al. (1990) on the MED corpus.</w:t>
      </w:r>
    </w:p>
    <w:p>
      <w:pPr>
        <w:pStyle w:val="Normal"/>
        <w:spacing w:lineRule="exact" w:line="300" w:before="0" w:after="120"/>
        <w:jc w:val="both"/>
        <w:rPr/>
      </w:pPr>
      <w:r>
        <w:rPr/>
        <w:t>The improvement is larger on English (92.6%) than on Romanian (53.6%), which is the opposite of the pre-experiment prediction. We predicted that Romanian's richer morphology would create more synonymy for LSA to denoise, yielding a larger improvement. The result can be explained by the density difference: Romanian documents are longer (239.6 tokens vs 179.0) and the TF-IDF matrix is denser (0.77% vs 0.52%). Longer, denser documents produce TF-IDF vectors that already have substantial overlap with semantically similar documents in the raw space, leaving less room for latent semantic compression to improve upon. This illustrates a general principle: LSA's retrieval benefit is largest when documents are short and sparse, not simply when the language is morphologically complex.</w:t>
      </w:r>
    </w:p>
    <w:p>
      <w:pPr>
        <w:pStyle w:val="Heading3"/>
        <w:spacing w:before="280" w:after="140"/>
        <w:rPr/>
      </w:pPr>
      <w:r>
        <w:rPr>
          <w:b/>
          <w:bCs/>
        </w:rPr>
        <w:t>Classification accuracy</w:t>
      </w:r>
    </w:p>
    <w:p>
      <w:pPr>
        <w:pStyle w:val="Normal"/>
        <w:spacing w:lineRule="exact" w:line="300" w:before="0" w:after="120"/>
        <w:jc w:val="both"/>
        <w:rPr/>
      </w:pPr>
      <w:r>
        <w:rPr/>
        <w:t>In contrast to retrieval, LSA classification accuracy never significantly exceeds the raw TF-IDF baseline on either corpus (EN baseline: 0.8888, RO baseline: 0.8243). This is an expected and interpretable result: the categories in both corpora are sufficiently discriminable by surface vocabulary alone that a logistic regression does not benefit from the additional latent structure. Cosine-similarity retrieval, by contrast, is dominated by literal vocabulary overlap in the raw space and benefits substantially from LSA's latent axes.</w:t>
      </w:r>
    </w:p>
    <w:p>
      <w:pPr>
        <w:pStyle w:val="Heading3"/>
        <w:spacing w:before="280" w:after="140"/>
        <w:rPr/>
      </w:pPr>
      <w:r>
        <w:rPr>
          <w:b/>
          <w:bCs/>
        </w:rPr>
        <w:t>Topic interpretability</w:t>
      </w:r>
    </w:p>
    <w:p>
      <w:pPr>
        <w:pStyle w:val="Normal"/>
        <w:spacing w:lineRule="exact" w:line="300" w:before="0" w:after="120"/>
        <w:jc w:val="both"/>
        <w:rPr/>
      </w:pPr>
      <w:r>
        <w:rPr/>
        <w:t>Inspecting the top terms per latent dimension reveals interpretable topic axes on both corpora:</w:t>
      </w:r>
    </w:p>
    <w:p>
      <w:pPr>
        <w:pStyle w:val="ListParagraph"/>
        <w:numPr>
          <w:ilvl w:val="0"/>
          <w:numId w:val="1"/>
        </w:numPr>
        <w:spacing w:lineRule="exact" w:line="280" w:before="0" w:after="80"/>
        <w:rPr/>
      </w:pPr>
      <w:r>
        <w:rPr/>
        <w:t>English → Topic 1: game (+0.23), hockey (+0.14) vs. thanks (−0.22), graphics (−0.14): one axis separates sports from graphics. Topic 3: thanks (+0.24), game (+0.23), hockey (+0.13): a combined sports axis.</w:t>
      </w:r>
    </w:p>
    <w:p>
      <w:pPr>
        <w:pStyle w:val="ListParagraph"/>
        <w:numPr>
          <w:ilvl w:val="0"/>
          <w:numId w:val="1"/>
        </w:numPr>
        <w:spacing w:lineRule="exact" w:line="280" w:before="0" w:after="80"/>
        <w:rPr/>
      </w:pPr>
      <w:r>
        <w:rPr/>
        <w:t>Romanian → Topic 1: bani (+0.42), lei (+0.34), leul (+0.28), curs (+0.19), moneda (+0.18): pure finance axis (money, Romanian currency, exchange rate). Topic 2: scorul (+0.17), meci (+0.16), meciul (+0.15), învins (+0.15), locul (+0.14): pure sports axis (score, match, defeated, standings position).</w:t>
      </w:r>
    </w:p>
    <w:p>
      <w:pPr>
        <w:pStyle w:val="Normal"/>
        <w:spacing w:lineRule="exact" w:line="300" w:before="0" w:after="120"/>
        <w:jc w:val="both"/>
        <w:rPr/>
      </w:pPr>
      <w:r>
        <w:rPr/>
        <w:t>The Romanian topics are arguably more semantically coherent than the English ones. This may reflect the fact that MOROCO's named entity removal produced cleaner topic separation: the absence of names forces the model to discover genuine topical vocabulary rather than proper-noun clusters.</w:t>
      </w:r>
    </w:p>
    <w:p>
      <w:pPr>
        <w:pStyle w:val="Heading2"/>
        <w:spacing w:before="280" w:after="140"/>
        <w:rPr/>
      </w:pPr>
      <w:r>
        <w:rPr>
          <w:b/>
          <w:bCs/>
        </w:rPr>
        <w:t>4.3. t-SNE - Non-linear Visualization</w:t>
      </w:r>
    </w:p>
    <w:p>
      <w:pPr>
        <w:pStyle w:val="Normal"/>
        <w:spacing w:lineRule="exact" w:line="300" w:before="0" w:after="120"/>
        <w:jc w:val="both"/>
        <w:rPr/>
      </w:pPr>
      <w:r>
        <w:rPr/>
        <w:t>t-SNE is run with three perplexity values and compared against 2D projections by PCA and LSA. Table 4 reports silhouette scores for both corpora.</w:t>
      </w:r>
    </w:p>
    <w:p>
      <w:pPr>
        <w:pStyle w:val="Normal"/>
        <w:spacing w:before="0" w:after="100"/>
        <w:rPr/>
      </w:pPr>
      <w:r>
        <w:rPr/>
      </w:r>
    </w:p>
    <w:tbl>
      <w:tblPr>
        <w:tblW w:w="8000" w:type="dxa"/>
        <w:jc w:val="left"/>
        <w:tblInd w:w="0" w:type="dxa"/>
        <w:tblLayout w:type="fixed"/>
        <w:tblCellMar>
          <w:top w:w="80" w:type="dxa"/>
          <w:left w:w="120" w:type="dxa"/>
          <w:bottom w:w="80" w:type="dxa"/>
          <w:right w:w="120" w:type="dxa"/>
        </w:tblCellMar>
      </w:tblPr>
      <w:tblGrid>
        <w:gridCol w:w="2800"/>
        <w:gridCol w:w="2600"/>
        <w:gridCol w:w="2600"/>
      </w:tblGrid>
      <w:tr>
        <w:trPr/>
        <w:tc>
          <w:tcPr>
            <w:tcW w:w="2800" w:type="dxa"/>
            <w:tcBorders>
              <w:top w:val="single" w:sz="2" w:space="0" w:color="CCCCCC"/>
              <w:left w:val="single" w:sz="2" w:space="0" w:color="CCCCCC"/>
              <w:bottom w:val="single" w:sz="2" w:space="0" w:color="CCCCCC"/>
              <w:right w:val="single" w:sz="2" w:space="0" w:color="CCCCCC"/>
            </w:tcBorders>
            <w:shd w:fill="D5E8F0" w:val="clear"/>
          </w:tcPr>
          <w:p>
            <w:pPr>
              <w:pStyle w:val="Normal"/>
              <w:jc w:val="left"/>
              <w:rPr/>
            </w:pPr>
            <w:r>
              <w:rPr>
                <w:b/>
                <w:bCs/>
                <w:sz w:val="20"/>
                <w:szCs w:val="20"/>
              </w:rPr>
              <w:t>Method</w:t>
            </w:r>
          </w:p>
        </w:tc>
        <w:tc>
          <w:tcPr>
            <w:tcW w:w="2600"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EN silhouette</w:t>
            </w:r>
          </w:p>
        </w:tc>
        <w:tc>
          <w:tcPr>
            <w:tcW w:w="2600"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RO silhouette</w:t>
            </w:r>
          </w:p>
        </w:tc>
      </w:tr>
      <w:tr>
        <w:trPr/>
        <w:tc>
          <w:tcPr>
            <w:tcW w:w="28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PCA → 2D</w:t>
            </w:r>
          </w:p>
        </w:tc>
        <w:tc>
          <w:tcPr>
            <w:tcW w:w="26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-0.067</w:t>
            </w:r>
          </w:p>
        </w:tc>
        <w:tc>
          <w:tcPr>
            <w:tcW w:w="26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-0.092</w:t>
            </w:r>
          </w:p>
        </w:tc>
      </w:tr>
      <w:tr>
        <w:trPr/>
        <w:tc>
          <w:tcPr>
            <w:tcW w:w="28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LSA → 2D</w:t>
            </w:r>
          </w:p>
        </w:tc>
        <w:tc>
          <w:tcPr>
            <w:tcW w:w="26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-0.001</w:t>
            </w:r>
          </w:p>
        </w:tc>
        <w:tc>
          <w:tcPr>
            <w:tcW w:w="26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-0.114</w:t>
            </w:r>
          </w:p>
        </w:tc>
      </w:tr>
      <w:tr>
        <w:trPr/>
        <w:tc>
          <w:tcPr>
            <w:tcW w:w="28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t-SNE (perp=5)</w:t>
            </w:r>
          </w:p>
        </w:tc>
        <w:tc>
          <w:tcPr>
            <w:tcW w:w="26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0.143</w:t>
            </w:r>
          </w:p>
        </w:tc>
        <w:tc>
          <w:tcPr>
            <w:tcW w:w="26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0.128</w:t>
            </w:r>
          </w:p>
        </w:tc>
      </w:tr>
      <w:tr>
        <w:trPr/>
        <w:tc>
          <w:tcPr>
            <w:tcW w:w="28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t-SNE (perp=30)</w:t>
            </w:r>
          </w:p>
        </w:tc>
        <w:tc>
          <w:tcPr>
            <w:tcW w:w="26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0.186</w:t>
            </w:r>
          </w:p>
        </w:tc>
        <w:tc>
          <w:tcPr>
            <w:tcW w:w="26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0.144</w:t>
            </w:r>
          </w:p>
        </w:tc>
      </w:tr>
      <w:tr>
        <w:trPr/>
        <w:tc>
          <w:tcPr>
            <w:tcW w:w="28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t-SNE (perp=50)</w:t>
            </w:r>
          </w:p>
        </w:tc>
        <w:tc>
          <w:tcPr>
            <w:tcW w:w="26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0.149</w:t>
            </w:r>
          </w:p>
        </w:tc>
        <w:tc>
          <w:tcPr>
            <w:tcW w:w="26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0.153</w:t>
            </w:r>
          </w:p>
        </w:tc>
      </w:tr>
    </w:tbl>
    <w:p>
      <w:pPr>
        <w:pStyle w:val="Normal"/>
        <w:spacing w:before="80" w:after="240"/>
        <w:jc w:val="center"/>
        <w:rPr/>
      </w:pPr>
      <w:r>
        <w:rPr>
          <w:i/>
          <w:iCs/>
          <w:sz w:val="20"/>
          <w:szCs w:val="20"/>
        </w:rPr>
        <w:t>Table 4. Silhouette scores of 2D projections against ground-truth labels.</w:t>
      </w:r>
    </w:p>
    <w:p>
      <w:pPr>
        <w:pStyle w:val="Normal"/>
        <w:spacing w:lineRule="exact" w:line="300" w:before="0" w:after="120"/>
        <w:jc w:val="both"/>
        <w:rPr/>
      </w:pPr>
      <w:r>
        <w:rPr/>
        <w:t xml:space="preserve">Both PCA-2D and LSA-2D produce negative silhouette scores on both corpora, meaning the cluster overlap in the projection exceeds the within-cluster cohesion </w:t>
      </w:r>
      <w:r>
        <w:rPr/>
        <w:t>(</w:t>
      </w:r>
      <w:r>
        <w:rPr/>
        <w:t>the 2D linear projection is not informative about the category structure</w:t>
      </w:r>
      <w:r>
        <w:rPr/>
        <w:t>)</w:t>
      </w:r>
      <w:r>
        <w:rPr/>
        <w:t>. t-SNE at perplexity 30 achieves 0.186 on 20 Newsgroups and 0.144 on MOROCO. The linear-vs-nonlinear gap is large and consistent across both languages: t-SNE is the only method that produces positive, meaningful cluster structure in 2D.</w:t>
      </w:r>
    </w:p>
    <w:p>
      <w:pPr>
        <w:pStyle w:val="Normal"/>
        <w:spacing w:lineRule="exact" w:line="300" w:before="0" w:after="120"/>
        <w:jc w:val="both"/>
        <w:rPr/>
      </w:pPr>
      <w:r>
        <w:rPr/>
        <w:t>The t-SNE silhouette is lower on MOROCO (0.144) than on English (0.186). This is consistent with the other results: the six MOROCO categories are genuinely harder to separate because they share the same formal Romanian news register and lack named entities that might otherwise anchor clusters. Visually, the figures/moroco/dimred_2d_comparison.png plot shows culture and politics as partially overlapping clusters, while the four remaining categories (finance, science, sports, tech) form more compact groups.</w:t>
      </w:r>
    </w:p>
    <w:p>
      <w:pPr>
        <w:pStyle w:val="Normal"/>
        <w:spacing w:lineRule="exact" w:line="300" w:before="0" w:after="120"/>
        <w:jc w:val="both"/>
        <w:rPr/>
      </w:pPr>
      <w:r>
        <w:rPr/>
        <w:t>The perplexity sweep shows the expected pattern on both corpora: low perplexity (5) fragments each category into several disconnected sub-clusters because only very local neighborhoods are preserved, while perplexity 30 produces the most compact category-level groupings. On MOROCO, perplexity 50 gives the best silhouette (0.153), suggesting that slightly larger neighborhoods help merge the fragmented Romanian-language clusters.</w:t>
      </w:r>
    </w:p>
    <w:p>
      <w:pPr>
        <w:pStyle w:val="Heading2"/>
        <w:spacing w:before="280" w:after="140"/>
        <w:rPr/>
      </w:pPr>
      <w:r>
        <w:rPr>
          <w:b/>
          <w:bCs/>
        </w:rPr>
        <w:t>4.4. Synthesis and Cross-corpus Comparison</w:t>
      </w:r>
    </w:p>
    <w:p>
      <w:pPr>
        <w:pStyle w:val="Normal"/>
        <w:spacing w:before="0" w:after="100"/>
        <w:rPr/>
      </w:pPr>
      <w:r>
        <w:rPr/>
      </w:r>
    </w:p>
    <w:tbl>
      <w:tblPr>
        <w:tblW w:w="8000" w:type="dxa"/>
        <w:jc w:val="left"/>
        <w:tblInd w:w="0" w:type="dxa"/>
        <w:tblLayout w:type="fixed"/>
        <w:tblCellMar>
          <w:top w:w="80" w:type="dxa"/>
          <w:left w:w="120" w:type="dxa"/>
          <w:bottom w:w="80" w:type="dxa"/>
          <w:right w:w="120" w:type="dxa"/>
        </w:tblCellMar>
      </w:tblPr>
      <w:tblGrid>
        <w:gridCol w:w="2200"/>
        <w:gridCol w:w="1900"/>
        <w:gridCol w:w="1900"/>
        <w:gridCol w:w="1999"/>
      </w:tblGrid>
      <w:tr>
        <w:trPr/>
        <w:tc>
          <w:tcPr>
            <w:tcW w:w="2200" w:type="dxa"/>
            <w:tcBorders>
              <w:top w:val="single" w:sz="2" w:space="0" w:color="CCCCCC"/>
              <w:left w:val="single" w:sz="2" w:space="0" w:color="CCCCCC"/>
              <w:bottom w:val="single" w:sz="2" w:space="0" w:color="CCCCCC"/>
              <w:right w:val="single" w:sz="2" w:space="0" w:color="CCCCCC"/>
            </w:tcBorders>
            <w:shd w:fill="D5E8F0" w:val="clear"/>
          </w:tcPr>
          <w:p>
            <w:pPr>
              <w:pStyle w:val="Normal"/>
              <w:jc w:val="left"/>
              <w:rPr/>
            </w:pPr>
            <w:r>
              <w:rPr>
                <w:b/>
                <w:bCs/>
                <w:sz w:val="20"/>
                <w:szCs w:val="20"/>
              </w:rPr>
              <w:t>Finding</w:t>
            </w:r>
          </w:p>
        </w:tc>
        <w:tc>
          <w:tcPr>
            <w:tcW w:w="1900"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20 Newsgroups (EN)</w:t>
            </w:r>
          </w:p>
        </w:tc>
        <w:tc>
          <w:tcPr>
            <w:tcW w:w="1900"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MOROCO (RO)</w:t>
            </w:r>
          </w:p>
        </w:tc>
        <w:tc>
          <w:tcPr>
            <w:tcW w:w="1999"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Interpretation</w:t>
            </w:r>
          </w:p>
        </w:tc>
      </w:tr>
      <w:tr>
        <w:trPr/>
        <w:tc>
          <w:tcPr>
            <w:tcW w:w="22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LSA mAP at k=10 vs baseline</w:t>
            </w:r>
          </w:p>
        </w:tc>
        <w:tc>
          <w:tcPr>
            <w:tcW w:w="19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0.5945 vs 0.3086 (+92.6%)</w:t>
            </w:r>
          </w:p>
        </w:tc>
        <w:tc>
          <w:tcPr>
            <w:tcW w:w="19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0.5081 vs 0.3308 (+53.6%)</w:t>
            </w:r>
          </w:p>
        </w:tc>
        <w:tc>
          <w:tcPr>
            <w:tcW w:w="1999"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LSA improves retrieval on both; larger gain on shorter, sparser EN docs</w:t>
            </w:r>
          </w:p>
        </w:tc>
      </w:tr>
      <w:tr>
        <w:trPr/>
        <w:tc>
          <w:tcPr>
            <w:tcW w:w="22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PCA/LSA best classification</w:t>
            </w:r>
          </w:p>
        </w:tc>
        <w:tc>
          <w:tcPr>
            <w:tcW w:w="19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0.8715</w:t>
            </w:r>
          </w:p>
        </w:tc>
        <w:tc>
          <w:tcPr>
            <w:tcW w:w="19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0.8166</w:t>
            </w:r>
          </w:p>
        </w:tc>
        <w:tc>
          <w:tcPr>
            <w:tcW w:w="1999"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EN categories more lexically distinct; RO affected by NE removal</w:t>
            </w:r>
          </w:p>
        </w:tc>
      </w:tr>
      <w:tr>
        <w:trPr/>
        <w:tc>
          <w:tcPr>
            <w:tcW w:w="22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t-SNE silhouette (perp=30)</w:t>
            </w:r>
          </w:p>
        </w:tc>
        <w:tc>
          <w:tcPr>
            <w:tcW w:w="19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0.186</w:t>
            </w:r>
          </w:p>
        </w:tc>
        <w:tc>
          <w:tcPr>
            <w:tcW w:w="19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0.144</w:t>
            </w:r>
          </w:p>
        </w:tc>
        <w:tc>
          <w:tcPr>
            <w:tcW w:w="1999"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t-SNE clusters both corpora; RO harder due to shared journalistic register</w:t>
            </w:r>
          </w:p>
        </w:tc>
      </w:tr>
      <w:tr>
        <w:trPr/>
        <w:tc>
          <w:tcPr>
            <w:tcW w:w="2200" w:type="dxa"/>
            <w:tcBorders>
              <w:top w:val="single" w:sz="2" w:space="0" w:color="CCCCCC"/>
              <w:left w:val="single" w:sz="2" w:space="0" w:color="CCCCCC"/>
              <w:bottom w:val="single" w:sz="2" w:space="0" w:color="CCCCCC"/>
              <w:right w:val="single" w:sz="2" w:space="0" w:color="CCCCCC"/>
            </w:tcBorders>
          </w:tcPr>
          <w:p>
            <w:pPr>
              <w:pStyle w:val="Normal"/>
              <w:jc w:val="left"/>
              <w:rPr/>
            </w:pPr>
            <w:r>
              <w:rPr>
                <w:b w:val="false"/>
                <w:bCs w:val="false"/>
                <w:sz w:val="20"/>
                <w:szCs w:val="20"/>
              </w:rPr>
              <w:t>Linear 2D silhouette (best)</w:t>
            </w:r>
          </w:p>
        </w:tc>
        <w:tc>
          <w:tcPr>
            <w:tcW w:w="19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-0.001</w:t>
            </w:r>
          </w:p>
        </w:tc>
        <w:tc>
          <w:tcPr>
            <w:tcW w:w="1900"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-0.092</w:t>
            </w:r>
          </w:p>
        </w:tc>
        <w:tc>
          <w:tcPr>
            <w:tcW w:w="1999" w:type="dxa"/>
            <w:tcBorders>
              <w:top w:val="single" w:sz="2" w:space="0" w:color="CCCCCC"/>
              <w:left w:val="single" w:sz="2" w:space="0" w:color="CCCCCC"/>
              <w:bottom w:val="single" w:sz="2" w:space="0" w:color="CCCCCC"/>
              <w:right w:val="single" w:sz="2" w:space="0" w:color="CCCCCC"/>
            </w:tcBorders>
          </w:tcPr>
          <w:p>
            <w:pPr>
              <w:pStyle w:val="Normal"/>
              <w:jc w:val="center"/>
              <w:rPr/>
            </w:pPr>
            <w:r>
              <w:rPr>
                <w:b w:val="false"/>
                <w:bCs w:val="false"/>
                <w:sz w:val="20"/>
                <w:szCs w:val="20"/>
              </w:rPr>
              <w:t>Both negative,  linear projection to 2D loses all cluster structure</w:t>
            </w:r>
          </w:p>
        </w:tc>
      </w:tr>
    </w:tbl>
    <w:p>
      <w:pPr>
        <w:pStyle w:val="Normal"/>
        <w:spacing w:before="80" w:after="240"/>
        <w:jc w:val="center"/>
        <w:rPr/>
      </w:pPr>
      <w:r>
        <w:rPr>
          <w:i/>
          <w:iCs/>
          <w:sz w:val="20"/>
          <w:szCs w:val="20"/>
        </w:rPr>
        <w:t>Table 5. Cross-corpus summary of key findings.</w:t>
      </w:r>
    </w:p>
    <w:p>
      <w:pPr>
        <w:pStyle w:val="Normal"/>
        <w:spacing w:lineRule="exact" w:line="300" w:before="0" w:after="120"/>
        <w:jc w:val="both"/>
        <w:rPr/>
      </w:pPr>
      <w:r>
        <w:rPr/>
        <w:t xml:space="preserve">Taken together, the experiments show that the classical dimensionality reduction story </w:t>
      </w:r>
      <w:r>
        <w:rPr/>
        <w:t>h</w:t>
      </w:r>
      <w:r>
        <w:rPr/>
        <w:t>olds for both English and Romanian. The quantitative differences between languages are consistent and explainable rather than contradictory: longer Romanian documents improve the raw retrieval baseline (reducing LSA's relative gain), richer morphology slightly increases the dimensionality needed to explain equivalent variance, and the formal journalistic register of MOROCO makes topic-level visual separation harder without distorting the basic qualitative finding.</w:t>
      </w:r>
    </w:p>
    <w:p>
      <w:pPr>
        <w:pStyle w:val="Heading1"/>
        <w:spacing w:before="280" w:after="140"/>
        <w:rPr/>
      </w:pPr>
      <w:r>
        <w:rPr>
          <w:b/>
          <w:bCs/>
        </w:rPr>
        <w:t>References</w:t>
      </w:r>
    </w:p>
    <w:p>
      <w:pPr>
        <w:pStyle w:val="Normal"/>
        <w:spacing w:lineRule="exact" w:line="300" w:before="0" w:after="120"/>
        <w:jc w:val="both"/>
        <w:rPr/>
      </w:pPr>
      <w:r>
        <w:rPr/>
        <w:t>[1] Deerwester, S., Dumais, S. T., Furnas, G. W., Landauer, T. K., and Harshman, R. (1990). Indexing by Latent Semantic Analysis. JASIS, 41(6), 391–407.</w:t>
      </w:r>
    </w:p>
    <w:p>
      <w:pPr>
        <w:pStyle w:val="Normal"/>
        <w:spacing w:lineRule="exact" w:line="300" w:before="0" w:after="120"/>
        <w:jc w:val="both"/>
        <w:rPr/>
      </w:pPr>
      <w:r>
        <w:rPr/>
        <w:t>[2] Shlens, J. (2014). A Tutorial on Principal Component Analysis. arXiv:1404.1100.</w:t>
      </w:r>
    </w:p>
    <w:p>
      <w:pPr>
        <w:pStyle w:val="Normal"/>
        <w:spacing w:lineRule="exact" w:line="300" w:before="0" w:after="120"/>
        <w:jc w:val="both"/>
        <w:rPr/>
      </w:pPr>
      <w:r>
        <w:rPr/>
        <w:t>[3] van der Maaten, L., and Hinton, G. (2008). Visualizing Data using t-SNE. Journal of Machine Learning Research, 9, 2579–2605.</w:t>
      </w:r>
    </w:p>
    <w:p>
      <w:pPr>
        <w:pStyle w:val="Normal"/>
        <w:spacing w:lineRule="exact" w:line="300" w:before="0" w:after="120"/>
        <w:jc w:val="both"/>
        <w:rPr/>
      </w:pPr>
      <w:r>
        <w:rPr/>
        <w:t>[4] Butnaru, A. M., and Ionescu, R. T. (2019). MOROCO: The Moldavian and Romanian Dialectal Corpus. arXiv:1901.06543.</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 xml:space="preserve">Page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 xml:space="preserve">Page </w:t>
    </w: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88888"/>
        <w:sz w:val="18"/>
        <w:szCs w:val="18"/>
      </w:rPr>
      <w:t>Dimensionality Reduction in NLP — Practical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88888"/>
        <w:sz w:val="18"/>
        <w:szCs w:val="18"/>
      </w:rPr>
      <w:t>Dimensionality Reduction in NLP — Practical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51"/>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40" w:after="160"/>
      <w:outlineLvl w:val="0"/>
    </w:pPr>
    <w:rPr>
      <w:rFonts w:ascii="Arial" w:hAnsi="Arial" w:eastAsia="Arial" w:cs="Arial"/>
      <w:b/>
      <w:bCs/>
      <w:color w:val="1F3864"/>
      <w:sz w:val="30"/>
      <w:szCs w:val="30"/>
    </w:rPr>
  </w:style>
  <w:style w:type="paragraph" w:styleId="Heading2">
    <w:name w:val="Heading 2"/>
    <w:basedOn w:val="Heading"/>
    <w:qFormat/>
    <w:pPr>
      <w:spacing w:before="260" w:after="120"/>
      <w:outlineLvl w:val="1"/>
    </w:pPr>
    <w:rPr>
      <w:rFonts w:ascii="Arial" w:hAnsi="Arial" w:eastAsia="Arial" w:cs="Arial"/>
      <w:b/>
      <w:bCs/>
      <w:color w:val="2E74B5"/>
      <w:sz w:val="26"/>
      <w:szCs w:val="26"/>
    </w:rPr>
  </w:style>
  <w:style w:type="paragraph" w:styleId="Heading3">
    <w:name w:val="Heading 3"/>
    <w:basedOn w:val="Heading"/>
    <w:qFormat/>
    <w:pPr>
      <w:spacing w:before="200" w:after="100"/>
      <w:outlineLvl w:val="2"/>
    </w:pPr>
    <w:rPr>
      <w:rFonts w:ascii="Arial" w:hAnsi="Arial" w:eastAsia="Arial" w:cs="Arial"/>
      <w:b/>
      <w:bCs/>
      <w:i/>
      <w:iCs/>
      <w:color w:val="404040"/>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LibreOffice/24.2.7.2$Linux_X86_64 LibreOffice_project/420$Build-2</Application>
  <AppVersion>15.0000</AppVersion>
  <Pages>10</Pages>
  <Words>2839</Words>
  <Characters>16447</Characters>
  <CharactersWithSpaces>19104</CharactersWithSpaces>
  <Paragraphs>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2026-05-08T21:09:27Z</dcterms:created>
  <dc:creator>Claude</dc:creator>
  <dc:description/>
  <dc:language>en-US</dc:language>
  <cp:lastModifiedBy/>
  <dcterms:modified xsi:type="dcterms:W3CDTF">2026-05-09T15:31:28Z</dcterms:modified>
  <cp:revision>8</cp:revision>
  <dc:subject/>
  <dc:title>Dimensionality Reduction in NLP — Practical Report</dc:title>
</cp:coreProperties>
</file>