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8B4513"/>
          <w:sz w:val="44"/>
          <w:szCs w:val="44"/>
        </w:rPr>
        <w:t xml:space="preserve">BAKE HOUSE SYSTEM</w:t>
      </w:r>
    </w:p>
    <w:p>
      <w:pPr>
        <w:spacing w:after="360"/>
        <w:jc w:val="center"/>
      </w:pPr>
      <w:r>
        <w:rPr>
          <w:b/>
          <w:bCs/>
          <w:color w:val="D4973B"/>
          <w:sz w:val="26"/>
          <w:szCs w:val="26"/>
        </w:rPr>
        <w:t xml:space="preserve">Full-Stack Architecture, API Communication &amp; Authentication Guide</w:t>
      </w:r>
    </w:p>
    <w:p>
      <w:pPr>
        <w:spacing w:after="480"/>
        <w:jc w:val="center"/>
      </w:pPr>
      <w:r>
        <w:rPr>
          <w:i/>
          <w:iCs/>
          <w:color w:val="6E645A"/>
          <w:sz w:val="20"/>
          <w:szCs w:val="20"/>
        </w:rPr>
        <w:t xml:space="preserve">Prepared for Capstone Technical Discussion &amp; Panel Presentation</w:t>
      </w:r>
    </w:p>
    <w:p>
      <w:pPr>
        <w:pBdr>
          <w:bottom w:val="single" w:color="D4973B" w:sz="12"/>
        </w:pBdr>
        <w:spacing w:after="300"/>
      </w:pPr>
    </w:p>
    <w:p>
      <w:pPr>
        <w:pStyle w:val="Heading1"/>
        <w:spacing w:after="120" w:before="240"/>
      </w:pPr>
      <w:r>
        <w:rPr>
          <w:b/>
          <w:bCs/>
          <w:color w:val="8B4513"/>
          <w:sz w:val="28"/>
          <w:szCs w:val="28"/>
        </w:rPr>
        <w:t xml:space="preserve">1. Project Folder Organization &amp; Roles</w:t>
      </w:r>
    </w:p>
    <w:p>
      <w:pPr>
        <w:spacing w:after="160"/>
      </w:pPr>
      <w:r>
        <w:rPr>
          <w:sz w:val="22"/>
          <w:szCs w:val="22"/>
        </w:rPr>
        <w:t xml:space="preserve">The BAKE-HOUSE repository is organized using Domain-Driven Modular Architecture (Feature-based grouping). Rather than scattering code across disparate files, all server-side endpoints and client-side modules are neatly grouped according to their real-world business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Folder Path</w:t>
            </w:r>
          </w:p>
        </w:tc>
        <w:tc>
          <w:tcPr>
            <w:tcW w:type="pct" w:w="42%"/>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Domain Role / Purpose</w:t>
            </w:r>
          </w:p>
        </w:tc>
        <w:tc>
          <w:tcPr>
            <w:tcW w:type="pct" w:w="30%"/>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Key Files</w:t>
            </w:r>
          </w:p>
        </w:tc>
      </w:tr>
      <w:tr>
        <w:tc>
          <w:tcPr>
            <w:tcW w:type="pct" w:w="28%"/>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backend/api/auth/</w:t>
            </w:r>
          </w:p>
        </w:tc>
        <w:tc>
          <w:tcPr>
            <w:tcW w:type="pct" w:w="42%"/>
            <w:shd w:fill="FFFFFF" w:val="clear"/>
            <w:tcMar>
              <w:top w:type="dxa" w:w="100"/>
              <w:left w:type="dxa" w:w="140"/>
              <w:bottom w:type="dxa" w:w="100"/>
              <w:right w:type="dxa" w:w="140"/>
            </w:tcMar>
          </w:tcPr>
          <w:p>
            <w:r>
              <w:rPr>
                <w:rFonts w:ascii="Calibri" w:cs="Calibri" w:eastAsia="Calibri" w:hAnsi="Calibri"/>
                <w:color w:val="2D241E"/>
                <w:sz w:val="20"/>
                <w:szCs w:val="20"/>
              </w:rPr>
              <w:t xml:space="preserve">User authentication, accounts, roles (Admin/Staff/Customer), and Google SSO</w:t>
            </w:r>
          </w:p>
        </w:tc>
        <w:tc>
          <w:tcPr>
            <w:tcW w:type="pct" w:w="30%"/>
            <w:shd w:fill="FFFFFF" w:val="clear"/>
            <w:tcMar>
              <w:top w:type="dxa" w:w="100"/>
              <w:left w:type="dxa" w:w="140"/>
              <w:bottom w:type="dxa" w:w="100"/>
              <w:right w:type="dxa" w:w="140"/>
            </w:tcMar>
          </w:tcPr>
          <w:p>
            <w:r>
              <w:rPr>
                <w:rFonts w:ascii="Calibri" w:cs="Calibri" w:eastAsia="Calibri" w:hAnsi="Calibri"/>
                <w:color w:val="2D241E"/>
                <w:sz w:val="20"/>
                <w:szCs w:val="20"/>
              </w:rPr>
              <w:t xml:space="preserve">login.php, google_login.php, register.php, profile.php</w:t>
            </w:r>
          </w:p>
        </w:tc>
      </w:tr>
      <w:tr>
        <w:tc>
          <w:tcPr>
            <w:tcW w:type="pct" w:w="28%"/>
            <w:shd w:fill="FDFCFA" w:val="clear"/>
            <w:tcMar>
              <w:top w:type="dxa" w:w="100"/>
              <w:left w:type="dxa" w:w="140"/>
              <w:bottom w:type="dxa" w:w="100"/>
              <w:right w:type="dxa" w:w="140"/>
            </w:tcMar>
          </w:tcPr>
          <w:p>
            <w:r>
              <w:rPr>
                <w:rFonts w:ascii="Calibri" w:cs="Calibri" w:eastAsia="Calibri" w:hAnsi="Calibri"/>
                <w:color w:val="2D241E"/>
                <w:sz w:val="20"/>
                <w:szCs w:val="20"/>
              </w:rPr>
              <w:t xml:space="preserve">backend/api/orders/</w:t>
            </w:r>
          </w:p>
        </w:tc>
        <w:tc>
          <w:tcPr>
            <w:tcW w:type="pct" w:w="42%"/>
            <w:shd w:fill="FDFCFA" w:val="clear"/>
            <w:tcMar>
              <w:top w:type="dxa" w:w="100"/>
              <w:left w:type="dxa" w:w="140"/>
              <w:bottom w:type="dxa" w:w="100"/>
              <w:right w:type="dxa" w:w="140"/>
            </w:tcMar>
          </w:tcPr>
          <w:p>
            <w:r>
              <w:rPr>
                <w:rFonts w:ascii="Calibri" w:cs="Calibri" w:eastAsia="Calibri" w:hAnsi="Calibri"/>
                <w:color w:val="2D241E"/>
                <w:sz w:val="20"/>
                <w:szCs w:val="20"/>
              </w:rPr>
              <w:t xml:space="preserve">Order placement, status lifecycle, checkout calculations, and queue processing</w:t>
            </w:r>
          </w:p>
        </w:tc>
        <w:tc>
          <w:tcPr>
            <w:tcW w:type="pct" w:w="30%"/>
            <w:shd w:fill="FDFCFA" w:val="clear"/>
            <w:tcMar>
              <w:top w:type="dxa" w:w="100"/>
              <w:left w:type="dxa" w:w="140"/>
              <w:bottom w:type="dxa" w:w="100"/>
              <w:right w:type="dxa" w:w="140"/>
            </w:tcMar>
          </w:tcPr>
          <w:p>
            <w:r>
              <w:rPr>
                <w:rFonts w:ascii="Calibri" w:cs="Calibri" w:eastAsia="Calibri" w:hAnsi="Calibri"/>
                <w:color w:val="2D241E"/>
                <w:sz w:val="20"/>
                <w:szCs w:val="20"/>
              </w:rPr>
              <w:t xml:space="preserve">create_order.php, get_orders.php, update_order_status.php</w:t>
            </w:r>
          </w:p>
        </w:tc>
      </w:tr>
      <w:tr>
        <w:tc>
          <w:tcPr>
            <w:tcW w:type="pct" w:w="28%"/>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backend/api/products/</w:t>
            </w:r>
          </w:p>
        </w:tc>
        <w:tc>
          <w:tcPr>
            <w:tcW w:type="pct" w:w="42%"/>
            <w:shd w:fill="FFFFFF" w:val="clear"/>
            <w:tcMar>
              <w:top w:type="dxa" w:w="100"/>
              <w:left w:type="dxa" w:w="140"/>
              <w:bottom w:type="dxa" w:w="100"/>
              <w:right w:type="dxa" w:w="140"/>
            </w:tcMar>
          </w:tcPr>
          <w:p>
            <w:r>
              <w:rPr>
                <w:rFonts w:ascii="Calibri" w:cs="Calibri" w:eastAsia="Calibri" w:hAnsi="Calibri"/>
                <w:color w:val="2D241E"/>
                <w:sz w:val="20"/>
                <w:szCs w:val="20"/>
              </w:rPr>
              <w:t xml:space="preserve">Catalog items, categories, pricing, stock levels, and inventory management</w:t>
            </w:r>
          </w:p>
        </w:tc>
        <w:tc>
          <w:tcPr>
            <w:tcW w:type="pct" w:w="30%"/>
            <w:shd w:fill="FFFFFF" w:val="clear"/>
            <w:tcMar>
              <w:top w:type="dxa" w:w="100"/>
              <w:left w:type="dxa" w:w="140"/>
              <w:bottom w:type="dxa" w:w="100"/>
              <w:right w:type="dxa" w:w="140"/>
            </w:tcMar>
          </w:tcPr>
          <w:p>
            <w:r>
              <w:rPr>
                <w:rFonts w:ascii="Calibri" w:cs="Calibri" w:eastAsia="Calibri" w:hAnsi="Calibri"/>
                <w:color w:val="2D241E"/>
                <w:sz w:val="20"/>
                <w:szCs w:val="20"/>
              </w:rPr>
              <w:t xml:space="preserve">get_products.php, create_product.php, delete_product.php</w:t>
            </w:r>
          </w:p>
        </w:tc>
      </w:tr>
      <w:tr>
        <w:tc>
          <w:tcPr>
            <w:tcW w:type="pct" w:w="28%"/>
            <w:shd w:fill="FDFCFA" w:val="clear"/>
            <w:tcMar>
              <w:top w:type="dxa" w:w="100"/>
              <w:left w:type="dxa" w:w="140"/>
              <w:bottom w:type="dxa" w:w="100"/>
              <w:right w:type="dxa" w:w="140"/>
            </w:tcMar>
          </w:tcPr>
          <w:p>
            <w:r>
              <w:rPr>
                <w:rFonts w:ascii="Calibri" w:cs="Calibri" w:eastAsia="Calibri" w:hAnsi="Calibri"/>
                <w:color w:val="2D241E"/>
                <w:sz w:val="20"/>
                <w:szCs w:val="20"/>
              </w:rPr>
              <w:t xml:space="preserve">backend/api/admin/</w:t>
            </w:r>
          </w:p>
        </w:tc>
        <w:tc>
          <w:tcPr>
            <w:tcW w:type="pct" w:w="42%"/>
            <w:shd w:fill="FDFCFA" w:val="clear"/>
            <w:tcMar>
              <w:top w:type="dxa" w:w="100"/>
              <w:left w:type="dxa" w:w="140"/>
              <w:bottom w:type="dxa" w:w="100"/>
              <w:right w:type="dxa" w:w="140"/>
            </w:tcMar>
          </w:tcPr>
          <w:p>
            <w:r>
              <w:rPr>
                <w:rFonts w:ascii="Calibri" w:cs="Calibri" w:eastAsia="Calibri" w:hAnsi="Calibri"/>
                <w:color w:val="2D241E"/>
                <w:sz w:val="20"/>
                <w:szCs w:val="20"/>
              </w:rPr>
              <w:t xml:space="preserve">Administrative dashboards, sales metrics, revenue summaries, and reports</w:t>
            </w:r>
          </w:p>
        </w:tc>
        <w:tc>
          <w:tcPr>
            <w:tcW w:type="pct" w:w="30%"/>
            <w:shd w:fill="FDFCFA" w:val="clear"/>
            <w:tcMar>
              <w:top w:type="dxa" w:w="100"/>
              <w:left w:type="dxa" w:w="140"/>
              <w:bottom w:type="dxa" w:w="100"/>
              <w:right w:type="dxa" w:w="140"/>
            </w:tcMar>
          </w:tcPr>
          <w:p>
            <w:r>
              <w:rPr>
                <w:rFonts w:ascii="Calibri" w:cs="Calibri" w:eastAsia="Calibri" w:hAnsi="Calibri"/>
                <w:color w:val="2D241E"/>
                <w:sz w:val="20"/>
                <w:szCs w:val="20"/>
              </w:rPr>
              <w:t xml:space="preserve">dashboard_stats.php, reports.php</w:t>
            </w:r>
          </w:p>
        </w:tc>
      </w:tr>
      <w:tr>
        <w:tc>
          <w:tcPr>
            <w:tcW w:type="pct" w:w="28%"/>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backend/api/personalize/</w:t>
            </w:r>
          </w:p>
        </w:tc>
        <w:tc>
          <w:tcPr>
            <w:tcW w:type="pct" w:w="42%"/>
            <w:shd w:fill="FFFFFF" w:val="clear"/>
            <w:tcMar>
              <w:top w:type="dxa" w:w="100"/>
              <w:left w:type="dxa" w:w="140"/>
              <w:bottom w:type="dxa" w:w="100"/>
              <w:right w:type="dxa" w:w="140"/>
            </w:tcMar>
          </w:tcPr>
          <w:p>
            <w:r>
              <w:rPr>
                <w:rFonts w:ascii="Calibri" w:cs="Calibri" w:eastAsia="Calibri" w:hAnsi="Calibri"/>
                <w:color w:val="2D241E"/>
                <w:sz w:val="20"/>
                <w:szCs w:val="20"/>
              </w:rPr>
              <w:t xml:space="preserve">Custom 2D/3D cake customizer options, flavors, tiers, toppers, and quotes</w:t>
            </w:r>
          </w:p>
        </w:tc>
        <w:tc>
          <w:tcPr>
            <w:tcW w:type="pct" w:w="30%"/>
            <w:shd w:fill="FFFFFF" w:val="clear"/>
            <w:tcMar>
              <w:top w:type="dxa" w:w="100"/>
              <w:left w:type="dxa" w:w="140"/>
              <w:bottom w:type="dxa" w:w="100"/>
              <w:right w:type="dxa" w:w="140"/>
            </w:tcMar>
          </w:tcPr>
          <w:p>
            <w:r>
              <w:rPr>
                <w:rFonts w:ascii="Calibri" w:cs="Calibri" w:eastAsia="Calibri" w:hAnsi="Calibri"/>
                <w:color w:val="2D241E"/>
                <w:sz w:val="20"/>
                <w:szCs w:val="20"/>
              </w:rPr>
              <w:t xml:space="preserve">get_options.php, save_custom_cake.php</w:t>
            </w:r>
          </w:p>
        </w:tc>
      </w:tr>
      <w:tr>
        <w:tc>
          <w:tcPr>
            <w:tcW w:type="pct" w:w="28%"/>
            <w:shd w:fill="FDFCFA" w:val="clear"/>
            <w:tcMar>
              <w:top w:type="dxa" w:w="100"/>
              <w:left w:type="dxa" w:w="140"/>
              <w:bottom w:type="dxa" w:w="100"/>
              <w:right w:type="dxa" w:w="140"/>
            </w:tcMar>
          </w:tcPr>
          <w:p>
            <w:r>
              <w:rPr>
                <w:rFonts w:ascii="Calibri" w:cs="Calibri" w:eastAsia="Calibri" w:hAnsi="Calibri"/>
                <w:color w:val="2D241E"/>
                <w:sz w:val="20"/>
                <w:szCs w:val="20"/>
              </w:rPr>
              <w:t xml:space="preserve">backend/config/</w:t>
            </w:r>
          </w:p>
        </w:tc>
        <w:tc>
          <w:tcPr>
            <w:tcW w:type="pct" w:w="42%"/>
            <w:shd w:fill="FDFCFA" w:val="clear"/>
            <w:tcMar>
              <w:top w:type="dxa" w:w="100"/>
              <w:left w:type="dxa" w:w="140"/>
              <w:bottom w:type="dxa" w:w="100"/>
              <w:right w:type="dxa" w:w="140"/>
            </w:tcMar>
          </w:tcPr>
          <w:p>
            <w:r>
              <w:rPr>
                <w:rFonts w:ascii="Calibri" w:cs="Calibri" w:eastAsia="Calibri" w:hAnsi="Calibri"/>
                <w:color w:val="2D241E"/>
                <w:sz w:val="20"/>
                <w:szCs w:val="20"/>
              </w:rPr>
              <w:t xml:space="preserve">Global database connection (PDO) and CORS security middleware</w:t>
            </w:r>
          </w:p>
        </w:tc>
        <w:tc>
          <w:tcPr>
            <w:tcW w:type="pct" w:w="30%"/>
            <w:shd w:fill="FDFCFA" w:val="clear"/>
            <w:tcMar>
              <w:top w:type="dxa" w:w="100"/>
              <w:left w:type="dxa" w:w="140"/>
              <w:bottom w:type="dxa" w:w="100"/>
              <w:right w:type="dxa" w:w="140"/>
            </w:tcMar>
          </w:tcPr>
          <w:p>
            <w:r>
              <w:rPr>
                <w:rFonts w:ascii="Calibri" w:cs="Calibri" w:eastAsia="Calibri" w:hAnsi="Calibri"/>
                <w:color w:val="2D241E"/>
                <w:sz w:val="20"/>
                <w:szCs w:val="20"/>
              </w:rPr>
              <w:t xml:space="preserve">db.php, cors.php</w:t>
            </w:r>
          </w:p>
        </w:tc>
      </w:tr>
      <w:tr>
        <w:tc>
          <w:tcPr>
            <w:tcW w:type="pct" w:w="28%"/>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backend/database/</w:t>
            </w:r>
          </w:p>
        </w:tc>
        <w:tc>
          <w:tcPr>
            <w:tcW w:type="pct" w:w="42%"/>
            <w:shd w:fill="FFFFFF" w:val="clear"/>
            <w:tcMar>
              <w:top w:type="dxa" w:w="100"/>
              <w:left w:type="dxa" w:w="140"/>
              <w:bottom w:type="dxa" w:w="100"/>
              <w:right w:type="dxa" w:w="140"/>
            </w:tcMar>
          </w:tcPr>
          <w:p>
            <w:r>
              <w:rPr>
                <w:rFonts w:ascii="Calibri" w:cs="Calibri" w:eastAsia="Calibri" w:hAnsi="Calibri"/>
                <w:color w:val="2D241E"/>
                <w:sz w:val="20"/>
                <w:szCs w:val="20"/>
              </w:rPr>
              <w:t xml:space="preserve">SQL schemas, automated setup/migration script, and JSON store fallbacks</w:t>
            </w:r>
          </w:p>
        </w:tc>
        <w:tc>
          <w:tcPr>
            <w:tcW w:type="pct" w:w="30%"/>
            <w:shd w:fill="FFFFFF" w:val="clear"/>
            <w:tcMar>
              <w:top w:type="dxa" w:w="100"/>
              <w:left w:type="dxa" w:w="140"/>
              <w:bottom w:type="dxa" w:w="100"/>
              <w:right w:type="dxa" w:w="140"/>
            </w:tcMar>
          </w:tcPr>
          <w:p>
            <w:r>
              <w:rPr>
                <w:rFonts w:ascii="Calibri" w:cs="Calibri" w:eastAsia="Calibri" w:hAnsi="Calibri"/>
                <w:color w:val="2D241E"/>
                <w:sz w:val="20"/>
                <w:szCs w:val="20"/>
              </w:rPr>
              <w:t xml:space="preserve">bakehouse_db.sql, setup.php, data/</w:t>
            </w:r>
          </w:p>
        </w:tc>
      </w:tr>
    </w:tbl>
    <w:p>
      <w:pPr>
        <w:pStyle w:val="Heading1"/>
        <w:spacing w:after="120" w:before="360"/>
      </w:pPr>
      <w:r>
        <w:rPr>
          <w:b/>
          <w:bCs/>
          <w:color w:val="8B4513"/>
          <w:sz w:val="28"/>
          <w:szCs w:val="28"/>
        </w:rPr>
        <w:t xml:space="preserve">2. How the Frontend Connects to the Backend</w:t>
      </w:r>
    </w:p>
    <w:p>
      <w:pPr>
        <w:spacing w:after="140"/>
      </w:pPr>
      <w:r>
        <w:rPr>
          <w:sz w:val="22"/>
          <w:szCs w:val="22"/>
        </w:rPr>
        <w:t xml:space="preserve">The React Frontend and PHP Backend communicate via a Decoupled RESTful HTTP API Architecture using JSON data interchange. The communication follows a 6-step lifecycle:</w:t>
      </w:r>
    </w:p>
    <w:p>
      <w:pPr>
        <w:pStyle w:val="ListParagraph"/>
        <w:numPr>
          <w:ilvl w:val="0"/>
          <w:numId w:val="1"/>
        </w:numPr>
        <w:spacing w:after="80"/>
      </w:pPr>
      <w:r>
        <w:rPr>
          <w:b/>
          <w:bCs/>
        </w:rPr>
        <w:t xml:space="preserve">Step 1: Frontend User Trigger - </w:t>
      </w:r>
      <w:r>
        <w:t xml:space="preserve">The user submits a form or clicks an action in the React UI (e.g. Account.jsx, CounterPOS.jsx, Cart.jsx). The page calls a dedicated service function (e.g., authService.login()).</w:t>
      </w:r>
    </w:p>
    <w:p>
      <w:pPr>
        <w:pStyle w:val="ListParagraph"/>
        <w:numPr>
          <w:ilvl w:val="0"/>
          <w:numId w:val="1"/>
        </w:numPr>
        <w:spacing w:after="80"/>
      </w:pPr>
      <w:r>
        <w:rPr>
          <w:b/>
          <w:bCs/>
        </w:rPr>
        <w:t xml:space="preserve">Step 2: Centralized HTTP Client (apiClient.js) - </w:t>
      </w:r>
      <w:r>
        <w:t xml:space="preserve">The request passes into apiClient.js, which wraps the standard JavaScript fetch() API. It attaches 'Content-Type: application/json', serializes the JavaScript object into a JSON string using JSON.stringify(), and sends the HTTP POST/GET request to the backend URL.</w:t>
      </w:r>
    </w:p>
    <w:p>
      <w:pPr>
        <w:pStyle w:val="ListParagraph"/>
        <w:numPr>
          <w:ilvl w:val="0"/>
          <w:numId w:val="1"/>
        </w:numPr>
        <w:spacing w:after="80"/>
      </w:pPr>
      <w:r>
        <w:rPr>
          <w:b/>
          <w:bCs/>
        </w:rPr>
        <w:t xml:space="preserve">Step 3: Cross-Origin Resource Sharing (cors.php) - </w:t>
      </w:r>
      <w:r>
        <w:t xml:space="preserve">Because React (Vite on port 5173) and PHP (port 8000 / Apache) run on different ports/domains, the browser enforces the Same-Origin Policy. The backend middleware (cors.php) automatically sets 'Access-Control-Allow-Origin: *' and approves HTTP preflight OPTIONS requests.</w:t>
      </w:r>
    </w:p>
    <w:p>
      <w:pPr>
        <w:pStyle w:val="ListParagraph"/>
        <w:numPr>
          <w:ilvl w:val="0"/>
          <w:numId w:val="1"/>
        </w:numPr>
        <w:spacing w:after="80"/>
      </w:pPr>
      <w:r>
        <w:rPr>
          <w:b/>
          <w:bCs/>
        </w:rPr>
        <w:t xml:space="preserve">Step 4: Request Body Parsing in PHP - </w:t>
      </w:r>
      <w:r>
        <w:t xml:space="preserve">The PHP script retrieves the raw HTTP payload via php://input and parses it into an associative PHP array using getRequestBody(). It then validates inputs and prepares database queries.</w:t>
      </w:r>
    </w:p>
    <w:p>
      <w:pPr>
        <w:pStyle w:val="ListParagraph"/>
        <w:numPr>
          <w:ilvl w:val="0"/>
          <w:numId w:val="1"/>
        </w:numPr>
        <w:spacing w:after="80"/>
      </w:pPr>
      <w:r>
        <w:rPr>
          <w:b/>
          <w:bCs/>
        </w:rPr>
        <w:t xml:space="preserve">Step 5: Database Execution &amp; Security - </w:t>
      </w:r>
      <w:r>
        <w:t xml:space="preserve">Database transactions execute using PDO Prepared Statements (protecting against SQL Injection). Password verification uses the industry-standard bcrypt algorithm (password_verify).</w:t>
      </w:r>
    </w:p>
    <w:p>
      <w:pPr>
        <w:pStyle w:val="ListParagraph"/>
        <w:numPr>
          <w:ilvl w:val="0"/>
          <w:numId w:val="1"/>
        </w:numPr>
        <w:spacing w:after="200"/>
      </w:pPr>
      <w:r>
        <w:rPr>
          <w:b/>
          <w:bCs/>
        </w:rPr>
        <w:t xml:space="preserve">Step 6: Formatted JSON Response - </w:t>
      </w:r>
      <w:r>
        <w:t xml:space="preserve">The backend returns an HTTP status code (200 OK, 201 Created, 400 Bad Request, etc.) and echoes the payload using sendResponse(). The React client parses the JSON, updates component state, and stores sessions in browser localStorage.</w:t>
      </w:r>
    </w:p>
    <w:p>
      <w:pPr>
        <w:pStyle w:val="Heading1"/>
        <w:spacing w:after="120" w:before="360"/>
      </w:pPr>
      <w:r>
        <w:rPr>
          <w:b/>
          <w:bCs/>
          <w:color w:val="8B4513"/>
          <w:sz w:val="28"/>
          <w:szCs w:val="28"/>
        </w:rPr>
        <w:t xml:space="preserve">3. Authentication Explained: Standard Login vs. Google Sign-In</w:t>
      </w:r>
    </w:p>
    <w:p>
      <w:pPr>
        <w:spacing w:after="140"/>
      </w:pPr>
      <w:r>
        <w:rPr>
          <w:b/>
          <w:bCs/>
          <w:color w:val="8B4513"/>
          <w:sz w:val="22"/>
          <w:szCs w:val="22"/>
        </w:rPr>
        <w:t xml:space="preserve">A frequent question is: 'If a user enters a Gmail address, why is a password still required?'</w:t>
      </w:r>
    </w:p>
    <w:p>
      <w:pPr>
        <w:spacing w:after="140"/>
      </w:pPr>
      <w:r>
        <w:rPr>
          <w:sz w:val="22"/>
          <w:szCs w:val="22"/>
        </w:rPr>
        <w:t xml:space="preserve">The answer lies in understanding that BAKE-HOUSE provides TWO fundamentally distinct authentication methods with completely different security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Comparison Feature</w:t>
            </w:r>
          </w:p>
        </w:tc>
        <w:tc>
          <w:tcPr>
            <w:tcW w:type="pct" w:w="37%"/>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Method A: Standard Form Login</w:t>
            </w:r>
          </w:p>
        </w:tc>
        <w:tc>
          <w:tcPr>
            <w:tcW w:type="pct" w:w="38%"/>
            <w:shd w:fill="8B4513" w:val="clear"/>
            <w:tcMar>
              <w:top w:type="dxa" w:w="120"/>
              <w:left w:type="dxa" w:w="140"/>
              <w:bottom w:type="dxa" w:w="120"/>
              <w:right w:type="dxa" w:w="140"/>
            </w:tcMar>
          </w:tcPr>
          <w:p>
            <w:pPr>
              <w:jc w:val="left"/>
            </w:pPr>
            <w:r>
              <w:rPr>
                <w:rFonts w:ascii="Calibri" w:cs="Calibri" w:eastAsia="Calibri" w:hAnsi="Calibri"/>
                <w:b/>
                <w:bCs/>
                <w:color w:val="FFFFFF"/>
                <w:sz w:val="22"/>
                <w:szCs w:val="22"/>
              </w:rPr>
              <w:t xml:space="preserve">Method B: 'Continue with Google'</w:t>
            </w:r>
          </w:p>
        </w:tc>
      </w:tr>
      <w:tr>
        <w:tc>
          <w:tcPr>
            <w:tcW w:type="pct" w:w="25%"/>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 Endpoint</w:t>
            </w:r>
          </w:p>
        </w:tc>
        <w:tc>
          <w:tcPr>
            <w:tcW w:type="pct" w:w="37%"/>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backend/api/auth/login.php</w:t>
            </w:r>
          </w:p>
        </w:tc>
        <w:tc>
          <w:tcPr>
            <w:tcW w:type="pct" w:w="38%"/>
            <w:shd w:fill="FFFFFF" w:val="clear"/>
            <w:tcMar>
              <w:top w:type="dxa" w:w="100"/>
              <w:left w:type="dxa" w:w="140"/>
              <w:bottom w:type="dxa" w:w="100"/>
              <w:right w:type="dxa" w:w="140"/>
            </w:tcMar>
          </w:tcPr>
          <w:p>
            <w:r>
              <w:rPr>
                <w:rFonts w:ascii="Calibri" w:cs="Calibri" w:eastAsia="Calibri" w:hAnsi="Calibri"/>
                <w:color w:val="2D241E"/>
                <w:sz w:val="20"/>
                <w:szCs w:val="20"/>
              </w:rPr>
              <w:t xml:space="preserve">backend/api/auth/google_login.php</w:t>
            </w:r>
          </w:p>
        </w:tc>
      </w:tr>
      <w:tr>
        <w:tc>
          <w:tcPr>
            <w:tcW w:type="pct" w:w="25%"/>
            <w:shd w:fill="FDFCFA" w:val="clear"/>
            <w:tcMar>
              <w:top w:type="dxa" w:w="100"/>
              <w:left w:type="dxa" w:w="140"/>
              <w:bottom w:type="dxa" w:w="100"/>
              <w:right w:type="dxa" w:w="140"/>
            </w:tcMar>
          </w:tcPr>
          <w:p>
            <w:r>
              <w:rPr>
                <w:rFonts w:ascii="Calibri" w:cs="Calibri" w:eastAsia="Calibri" w:hAnsi="Calibri"/>
                <w:color w:val="2D241E"/>
                <w:sz w:val="20"/>
                <w:szCs w:val="20"/>
              </w:rPr>
              <w:t xml:space="preserve">Password Required?</w:t>
            </w:r>
          </w:p>
        </w:tc>
        <w:tc>
          <w:tcPr>
            <w:tcW w:type="pct" w:w="37%"/>
            <w:shd w:fill="FDFCFA" w:val="clear"/>
            <w:tcMar>
              <w:top w:type="dxa" w:w="100"/>
              <w:left w:type="dxa" w:w="140"/>
              <w:bottom w:type="dxa" w:w="100"/>
              <w:right w:type="dxa" w:w="140"/>
            </w:tcMar>
          </w:tcPr>
          <w:p>
            <w:r>
              <w:rPr>
                <w:rFonts w:ascii="Calibri" w:cs="Calibri" w:eastAsia="Calibri" w:hAnsi="Calibri"/>
                <w:color w:val="2D241E"/>
                <w:sz w:val="20"/>
                <w:szCs w:val="20"/>
              </w:rPr>
              <w:t xml:space="preserve">YES (Mandatory)</w:t>
            </w:r>
          </w:p>
        </w:tc>
        <w:tc>
          <w:tcPr>
            <w:tcW w:type="pct" w:w="38%"/>
            <w:shd w:fill="FDFCFA" w:val="clear"/>
            <w:tcMar>
              <w:top w:type="dxa" w:w="100"/>
              <w:left w:type="dxa" w:w="140"/>
              <w:bottom w:type="dxa" w:w="100"/>
              <w:right w:type="dxa" w:w="140"/>
            </w:tcMar>
          </w:tcPr>
          <w:p>
            <w:r>
              <w:rPr>
                <w:rFonts w:ascii="Calibri" w:cs="Calibri" w:eastAsia="Calibri" w:hAnsi="Calibri"/>
                <w:color w:val="2D241E"/>
                <w:sz w:val="20"/>
                <w:szCs w:val="20"/>
              </w:rPr>
              <w:t xml:space="preserve">NO (Passwordless SSO)</w:t>
            </w:r>
          </w:p>
        </w:tc>
      </w:tr>
      <w:tr>
        <w:tc>
          <w:tcPr>
            <w:tcW w:type="pct" w:w="25%"/>
            <w:shd w:fill="FFFFFF" w:val="clear"/>
            <w:tcMar>
              <w:top w:type="dxa" w:w="100"/>
              <w:left w:type="dxa" w:w="140"/>
              <w:bottom w:type="dxa" w:w="100"/>
              <w:right w:type="dxa" w:w="140"/>
            </w:tcMar>
          </w:tcPr>
          <w:p>
            <w:r>
              <w:rPr>
                <w:rFonts w:ascii="Calibri" w:cs="Calibri" w:eastAsia="Calibri" w:hAnsi="Calibri"/>
                <w:color w:val="2D241E"/>
                <w:sz w:val="20"/>
                <w:szCs w:val="20"/>
              </w:rPr>
              <w:t xml:space="preserve">Why Password is Needed</w:t>
            </w:r>
          </w:p>
        </w:tc>
        <w:tc>
          <w:tcPr>
            <w:tcW w:type="pct" w:w="37%"/>
            <w:shd w:fill="FFFFFF" w:val="clear"/>
            <w:tcMar>
              <w:top w:type="dxa" w:w="100"/>
              <w:left w:type="dxa" w:w="140"/>
              <w:bottom w:type="dxa" w:w="100"/>
              <w:right w:type="dxa" w:w="140"/>
            </w:tcMar>
          </w:tcPr>
          <w:p>
            <w:r>
              <w:rPr>
                <w:rFonts w:ascii="Calibri" w:cs="Calibri" w:eastAsia="Calibri" w:hAnsi="Calibri"/>
                <w:color w:val="2D241E"/>
                <w:sz w:val="20"/>
                <w:szCs w:val="20"/>
              </w:rPr>
              <w:t xml:space="preserve">Anyone could type someone else's email address into an input box. The password proves you actually own the Bake House account.</w:t>
            </w:r>
          </w:p>
        </w:tc>
        <w:tc>
          <w:tcPr>
            <w:tcW w:type="pct" w:w="38%"/>
            <w:shd w:fill="FFFFFF" w:val="clear"/>
            <w:tcMar>
              <w:top w:type="dxa" w:w="100"/>
              <w:left w:type="dxa" w:w="140"/>
              <w:bottom w:type="dxa" w:w="100"/>
              <w:right w:type="dxa" w:w="140"/>
            </w:tcMar>
          </w:tcPr>
          <w:p>
            <w:r>
              <w:rPr>
                <w:rFonts w:ascii="Calibri" w:cs="Calibri" w:eastAsia="Calibri" w:hAnsi="Calibri"/>
                <w:color w:val="2D241E"/>
                <w:sz w:val="20"/>
                <w:szCs w:val="20"/>
              </w:rPr>
              <w:t xml:space="preserve">Google's servers already authenticated the user on their device and returned a cryptographically signed Google ID token.</w:t>
            </w:r>
          </w:p>
        </w:tc>
      </w:tr>
      <w:tr>
        <w:tc>
          <w:tcPr>
            <w:tcW w:type="pct" w:w="25%"/>
            <w:shd w:fill="FDFCFA" w:val="clear"/>
            <w:tcMar>
              <w:top w:type="dxa" w:w="100"/>
              <w:left w:type="dxa" w:w="140"/>
              <w:bottom w:type="dxa" w:w="100"/>
              <w:right w:type="dxa" w:w="140"/>
            </w:tcMar>
          </w:tcPr>
          <w:p>
            <w:r>
              <w:rPr>
                <w:rFonts w:ascii="Calibri" w:cs="Calibri" w:eastAsia="Calibri" w:hAnsi="Calibri"/>
                <w:color w:val="2D241E"/>
                <w:sz w:val="20"/>
                <w:szCs w:val="20"/>
              </w:rPr>
              <w:t xml:space="preserve">Intended Users</w:t>
            </w:r>
          </w:p>
        </w:tc>
        <w:tc>
          <w:tcPr>
            <w:tcW w:type="pct" w:w="37%"/>
            <w:shd w:fill="FDFCFA" w:val="clear"/>
            <w:tcMar>
              <w:top w:type="dxa" w:w="100"/>
              <w:left w:type="dxa" w:w="140"/>
              <w:bottom w:type="dxa" w:w="100"/>
              <w:right w:type="dxa" w:w="140"/>
            </w:tcMar>
          </w:tcPr>
          <w:p>
            <w:r>
              <w:rPr>
                <w:rFonts w:ascii="Calibri" w:cs="Calibri" w:eastAsia="Calibri" w:hAnsi="Calibri"/>
                <w:color w:val="2D241E"/>
                <w:sz w:val="20"/>
                <w:szCs w:val="20"/>
              </w:rPr>
              <w:t xml:space="preserve">1. Store Admins (username 'admin')
2. Counter Cashiers / Staff
3. Customers who registered with a password</w:t>
            </w:r>
          </w:p>
        </w:tc>
        <w:tc>
          <w:tcPr>
            <w:tcW w:type="pct" w:w="38%"/>
            <w:shd w:fill="FDFCFA" w:val="clear"/>
            <w:tcMar>
              <w:top w:type="dxa" w:w="100"/>
              <w:left w:type="dxa" w:w="140"/>
              <w:bottom w:type="dxa" w:w="100"/>
              <w:right w:type="dxa" w:w="140"/>
            </w:tcMar>
          </w:tcPr>
          <w:p>
            <w:r>
              <w:rPr>
                <w:rFonts w:ascii="Calibri" w:cs="Calibri" w:eastAsia="Calibri" w:hAnsi="Calibri"/>
                <w:color w:val="2D241E"/>
                <w:sz w:val="20"/>
                <w:szCs w:val="20"/>
              </w:rPr>
              <w:t xml:space="preserve">Customers wanting quick, 1-click passwordless checkout and order tracking without memorizing another password.</w:t>
            </w:r>
          </w:p>
        </w:tc>
      </w:tr>
      <w:tr>
        <w:tc>
          <w:tcPr>
            <w:tcW w:type="pct" w:w="25%"/>
            <w:shd w:fill="FFFFFF" w:val="clear"/>
            <w:tcMar>
              <w:top w:type="dxa" w:w="100"/>
              <w:left w:type="dxa" w:w="140"/>
              <w:bottom w:type="dxa" w:w="100"/>
              <w:right w:type="dxa" w:w="140"/>
            </w:tcMar>
          </w:tcPr>
          <w:p>
            <w:r>
              <w:rPr>
                <w:rFonts w:ascii="Calibri" w:cs="Calibri" w:eastAsia="Calibri" w:hAnsi="Calibri"/>
                <w:color w:val="2D241E"/>
                <w:sz w:val="20"/>
                <w:szCs w:val="20"/>
              </w:rPr>
              <w:t xml:space="preserve">Security Verification</w:t>
            </w:r>
          </w:p>
        </w:tc>
        <w:tc>
          <w:tcPr>
            <w:tcW w:type="pct" w:w="37%"/>
            <w:shd w:fill="FFFFFF" w:val="clear"/>
            <w:tcMar>
              <w:top w:type="dxa" w:w="100"/>
              <w:left w:type="dxa" w:w="140"/>
              <w:bottom w:type="dxa" w:w="100"/>
              <w:right w:type="dxa" w:w="140"/>
            </w:tcMar>
          </w:tcPr>
          <w:p>
            <w:r>
              <w:rPr>
                <w:rFonts w:ascii="Calibri" w:cs="Calibri" w:eastAsia="Calibri" w:hAnsi="Calibri"/>
                <w:color w:val="2D241E"/>
                <w:sz w:val="20"/>
                <w:szCs w:val="20"/>
              </w:rPr>
              <w:t xml:space="preserve">Bcrypt password_verify() against database hashed string</w:t>
            </w:r>
          </w:p>
        </w:tc>
        <w:tc>
          <w:tcPr>
            <w:tcW w:type="pct" w:w="38%"/>
            <w:shd w:fill="FFFFFF" w:val="clear"/>
            <w:tcMar>
              <w:top w:type="dxa" w:w="100"/>
              <w:left w:type="dxa" w:w="140"/>
              <w:bottom w:type="dxa" w:w="100"/>
              <w:right w:type="dxa" w:w="140"/>
            </w:tcMar>
          </w:tcPr>
          <w:p>
            <w:r>
              <w:rPr>
                <w:rFonts w:ascii="Calibri" w:cs="Calibri" w:eastAsia="Calibri" w:hAnsi="Calibri"/>
                <w:color w:val="2D241E"/>
                <w:sz w:val="20"/>
                <w:szCs w:val="20"/>
              </w:rPr>
              <w:t xml:space="preserve">Google OAuth 2.0 unique google_id &amp; verified email payload</w:t>
            </w:r>
          </w:p>
        </w:tc>
      </w:tr>
    </w:tbl>
    <w:p>
      <w:pPr>
        <w:pStyle w:val="Heading1"/>
        <w:spacing w:after="120" w:before="360"/>
      </w:pPr>
      <w:r>
        <w:rPr>
          <w:b/>
          <w:bCs/>
          <w:color w:val="8B4513"/>
          <w:sz w:val="28"/>
          <w:szCs w:val="28"/>
        </w:rPr>
        <w:t xml:space="preserve">4. Key Technical Questions &amp; Answers for Panel Defense</w:t>
      </w:r>
    </w:p>
    <w:p>
      <w:pPr>
        <w:spacing w:after="60" w:before="120"/>
      </w:pPr>
      <w:r>
        <w:rPr>
          <w:b/>
          <w:bCs/>
          <w:color w:val="2D241E"/>
          <w:sz w:val="22"/>
          <w:szCs w:val="22"/>
        </w:rPr>
        <w:t xml:space="preserve">Q1: What happens if two customers buy the last item at the exact same millisecond (Race Condition)?</w:t>
      </w:r>
    </w:p>
    <w:p>
      <w:pPr>
        <w:spacing w:after="140"/>
      </w:pPr>
      <w:r>
        <w:rPr>
          <w:sz w:val="21"/>
          <w:szCs w:val="21"/>
        </w:rPr>
        <w:t xml:space="preserve">Answer: In create_order.php, we implement Pessimistic Row Locking inside a PDO database transaction using `SELECT stock FROM products WHERE id = :id FOR UPDATE`. The first checkout locks the product row and completes. The second checkout waits, reads the newly updated stock (0), fails the validation check, rolls back cleanly, and receives an HTTP 400 error stating the product was just purchased.</w:t>
      </w:r>
    </w:p>
    <w:p>
      <w:pPr>
        <w:spacing w:after="60" w:before="120"/>
      </w:pPr>
      <w:r>
        <w:rPr>
          <w:b/>
          <w:bCs/>
          <w:color w:val="2D241E"/>
          <w:sz w:val="22"/>
          <w:szCs w:val="22"/>
        </w:rPr>
        <w:t xml:space="preserve">Q2: Why does the system maintain both MySQL and JSON file data stores?</w:t>
      </w:r>
    </w:p>
    <w:p>
      <w:pPr>
        <w:spacing w:after="140"/>
      </w:pPr>
      <w:r>
        <w:rPr>
          <w:sz w:val="21"/>
          <w:szCs w:val="21"/>
        </w:rPr>
        <w:t xml:space="preserve">Answer: It implements a High-Availability Fallback Strategy. MySQL serves as the primary ACID-compliant relational engine. If MySQL is offline or during offline testing, the system transparently falls back to local atomic JSON file stores (backend/database/data/), ensuring zero downtime during demonstrations.</w:t>
      </w:r>
    </w:p>
    <w:p>
      <w:pPr>
        <w:spacing w:after="60" w:before="120"/>
      </w:pPr>
      <w:r>
        <w:rPr>
          <w:b/>
          <w:bCs/>
          <w:color w:val="2D241E"/>
          <w:sz w:val="22"/>
          <w:szCs w:val="22"/>
        </w:rPr>
        <w:t xml:space="preserve">Q3: How are passwords secured in the database?</w:t>
      </w:r>
    </w:p>
    <w:p>
      <w:pPr>
        <w:spacing w:after="200"/>
      </w:pPr>
      <w:r>
        <w:rPr>
          <w:sz w:val="21"/>
          <w:szCs w:val="21"/>
        </w:rPr>
        <w:t xml:space="preserve">Answer: Passwords are NEVER stored in plain text. They are salted and hashed using PHP's native password_hash($password, PASSWORD_BCRYPT). When a user logs in, password_verify() cryptographically verifies the candidate string against the stored hash.</w:t>
      </w:r>
    </w:p>
    <w:p>
      <w:pPr>
        <w:pBdr>
          <w:top w:val="single" w:color="E0D3C3" w:sz="6"/>
        </w:pBdr>
        <w:spacing w:before="360"/>
        <w:jc w:val="center"/>
      </w:pPr>
      <w:r>
        <w:rPr>
          <w:i/>
          <w:iCs/>
          <w:color w:val="6E645A"/>
          <w:sz w:val="18"/>
          <w:szCs w:val="18"/>
        </w:rPr>
        <w:t xml:space="preserve">BAKE HOUSE Capstone System • Academic Year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41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2026-09-20T05:05:04.058Z</dcterms:created>
  <dcterms:modified xsi:type="dcterms:W3CDTF">2026-09-20T05:05:04.058Z</dcterms:modified>
</cp:coreProperties>
</file>

<file path=docProps/custom.xml><?xml version="1.0" encoding="utf-8"?>
<Properties xmlns="http://schemas.openxmlformats.org/officeDocument/2006/custom-properties" xmlns:vt="http://schemas.openxmlformats.org/officeDocument/2006/docPropsVTypes"/>
</file>