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F97316"/>
          <w:sz w:val="56"/>
        </w:rPr>
        <w:t>StrategemSignal · Data Sources Reference</w:t>
      </w:r>
    </w:p>
    <w:p>
      <w:r>
        <w:rPr>
          <w:rFonts w:ascii="Calibri" w:hAnsi="Calibri"/>
          <w:color w:val="4B5563"/>
          <w:sz w:val="26"/>
        </w:rPr>
        <w:t>Every external data feed the v2 app ingests — what, when, where, and who uses it</w:t>
      </w:r>
    </w:p>
    <w:p>
      <w:pPr>
        <w:spacing w:line="276" w:lineRule="auto"/>
      </w:pPr>
      <w:r>
        <w:rPr>
          <w:rFonts w:ascii="Calibri" w:hAnsi="Calibri"/>
          <w:i w:val="0"/>
          <w:color w:val="1E293B"/>
          <w:sz w:val="22"/>
        </w:rPr>
        <w:t>This grid-style reference maps every external data source in StrategemSignal v2 to its refresh cadence, ingestion pipeline, destination table, and downstream consumers. The goal is one defensible source of truth that answers three questions at once: where does each number come from, how fresh is it, and which feature breaks if it goes missing? This document is the companion to the forthcoming in-app "View Sources" modal (Phase 4.5) and the authoritative reference for anyone onboarding to the codebase.</w:t>
      </w:r>
    </w:p>
    <w:p>
      <w:pPr>
        <w:spacing w:line="276" w:lineRule="auto"/>
      </w:pPr>
      <w:r>
        <w:rPr>
          <w:rFonts w:ascii="Calibri" w:hAnsi="Calibri"/>
          <w:color w:val="6B7280"/>
          <w:sz w:val="20"/>
        </w:rPr>
        <w:t>Scope: StrategemSignal v2 only. StrategemOps data is referenced where the v2 app consumes it via the ops_* mirror tables, but the StrategemOps ingestion itself is documented separately in that project. Organization is primary by data source, with a cross-reference table by consuming feature at the end.</w:t>
      </w:r>
    </w:p>
    <w:p>
      <w:pPr>
        <w:spacing w:before="360" w:after="120"/>
      </w:pPr>
      <w:r>
        <w:rPr>
          <w:rFonts w:ascii="Calibri" w:hAnsi="Calibri"/>
          <w:b/>
          <w:color w:val="F97316"/>
          <w:sz w:val="40"/>
        </w:rPr>
        <w:t>1 · By Data Source</w:t>
      </w:r>
    </w:p>
    <w:p>
      <w:pPr>
        <w:spacing w:line="276" w:lineRule="auto"/>
      </w:pPr>
      <w:r>
        <w:rPr>
          <w:rFonts w:ascii="Calibri" w:hAnsi="Calibri"/>
          <w:i w:val="0"/>
          <w:color w:val="1E293B"/>
          <w:sz w:val="20"/>
        </w:rPr>
        <w:t>Each row below is one external data feed. Pipelines are the TypeScript files in src/lib/pipelines that do the actual fetching; crons are the GitHub Actions workflow files that fire them. All times are UTC.</w:t>
      </w:r>
    </w:p>
    <w:p>
      <w:pPr>
        <w:spacing w:before="240" w:after="80"/>
      </w:pPr>
      <w:r>
        <w:rPr>
          <w:rFonts w:ascii="Calibri" w:hAnsi="Calibri"/>
          <w:b/>
          <w:color w:val="EA580C"/>
          <w:sz w:val="30"/>
        </w:rPr>
        <w:t>1.1 · Federal &amp; Government Sources</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Bureau · Building Permits Survey (BPS)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single-family residential building permits by metro. Primary signal for home-construction demand.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6th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demand-pipeline.ts · demand-data.yml · /api/cron/demand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permit_data</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1 (Migration + Demand), Portfolio Health Demand sub-score, market narratives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Some metros publish quarterly rather than monthly — permits for those lag by ~30 days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https://www.census.gov/construction/bps/</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Bureau · American Community Survey (ACS) B19013</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Median household income by metro. Drives affordability and purchasing-power signals.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 released Dec, pulled annually</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income-pipeline.ts · /api/cron/income (manual/annual)</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income_data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5 (Affordability Runway), Portfolio Health Financial sub-score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One-year lag is structural; no fix available. Rural metros have wider confidence intervals.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https://www.census.gov/programs-surveys/acs/</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Bureau · Population Estimates Program (PEP)</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population change and net domestic migration by metro.</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(typ. March release)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demand-pipeline.ts (merged with permits run) · demand-data.yml</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migration_data</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1 (Migration + Demand), Portfolio Health Demand sub-score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only; no monthly granularity available from Census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https://www.census.gov/programs-surveys/popest.html</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 Current Employment Statistics (CES)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Total nonfarm employment by metro, month-over-month and year-over-year change.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6th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demand-pipeline.ts · demand-data.yml · /api/cron/demand (via FRED mirror)</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employment_data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1 (Migration + Demand), Portfolio Health Demand sub-score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FRED mirror publishes ~15 days after BLS; we accept that lag in exchange for rate limits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https://www.bls.gov/ces/</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 Local Area Unemployment Statistics (LAUS)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Unemployment rate by metro.</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6th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demand-pipeline.ts · demand-data.yml · fred-client.ts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employment_data (same table as CES)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 Health Demand sub-score (inverted)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Same FRED mirror lag as CES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https://www.bls.gov/lau/</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 Quarterly Census of Employment &amp; Wages (QCEW)</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Construction-trade employment (NAICS 2382/2383/2389) and avg weekly wage by metro. Primary capacity signal.</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 15th of Jan/Apr/Jul/Oct @ 12:00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capacity-pipeline.ts · capacity-data.yml · /api/cron/capacity</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trade_capacity_data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Organic model (wage-adjusted build cost), Filter 6 (Operational Feasibility), Portfolio Health Operational sub-score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~2-quarter publication lag is structural; single-probe resolution added in Phase 3.1</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https://www.bls.gov/cew/</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 Occupational Employment &amp; Wage Statistics (OEWS, fka OES)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occupation-level employment and wages for construction trades (SOC 47-xxxx).</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Annual · April (dual trigger: 13th + 15th)</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oes-pipeline.ts · oes-data.yml · /api/cron/oes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occupation_data</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6 (Operational Feasibility), reserved for Phase 4 wage-inflation alerts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Only ~7 of 52 tracked markets covered by OEWS at metro level; QCEW covers all 52 and is preferred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https://www.bls.gov/oes/</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FHFA · House Price Index (HPI)</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home-price index by metro. Trajectory signal for affordability and market strength.</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22nd @ 11:30 UTC (new quarters land in FHFA releases ~60 days after quarter-end)</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fhfa-pipeline.ts · fhfa.yml · /api/cron/fhfa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fhfa_hpi</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5 (Affordability Runway) — HPI YoY is the primary trajectory input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No coverage gaps for CBSAs; metro-level FHFA covers 100% of tracked markets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https://www.fhfa.gov/DataTools/Downloads</w:t>
            </w:r>
          </w:p>
        </w:tc>
      </w:tr>
    </w:tbl>
    <w:p>
      <w:pPr>
        <w:spacing w:before="240" w:after="80"/>
      </w:pPr>
      <w:r>
        <w:rPr>
          <w:rFonts w:ascii="Calibri" w:hAnsi="Calibri"/>
          <w:b/>
          <w:color w:val="EA580C"/>
          <w:sz w:val="30"/>
        </w:rPr>
        <w:t>1.2 · Commercial Free Sources</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 · ZHVI (Home Value Index)</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median home value in dollars (not an index), metro-level. Drives Business Case sale-price baseline and organic land-cost share.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17th @ 13:00 UTC (Zillow publishes 15th; we give a 48hr buffer)</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zillow-zhvi-pipeline.ts · zillow-zhvi.yml · /api/cron/zillow-zhvi</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zillow_zhvi</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Organic model (median home price, sale price, land basis), market-tier classifier (A/B/C/D)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4 markets unmatched of 199 (98% coverage): 2 Puerto Rico metros, Dayton-Kettering OH, Prescott Valley-Prescott AZ. No Zillow coverage at all for those.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https://www.zillow.com/research/data/</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FRED (St. Louis Fed)</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Mirror of BLS CES, LAUS, and related employment/population time series. We use FRED because its API is well-documented and rate-friendly.</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As-needed (demand-pipeline uses it for CES + LAUS)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fred-client.ts (library used by demand-pipeline)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employment_data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Indirect — FRED is the transport; underlying source is BLS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FRED only covers ~60 top metros directly; small metros must go straight to Census BPS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https://fred.stlouisfed.org/</w:t>
            </w:r>
          </w:p>
        </w:tc>
      </w:tr>
    </w:tbl>
    <w:p>
      <w:pPr>
        <w:spacing w:before="240" w:after="80"/>
      </w:pPr>
      <w:r>
        <w:rPr>
          <w:rFonts w:ascii="Calibri" w:hAnsi="Calibri"/>
          <w:b/>
          <w:color w:val="EA580C"/>
          <w:sz w:val="30"/>
        </w:rPr>
        <w:t>1.3 · Cross-App: StrategemOps Mirror</w:t>
      </w:r>
    </w:p>
    <w:p>
      <w:pPr>
        <w:spacing w:line="276" w:lineRule="auto"/>
      </w:pPr>
      <w:r>
        <w:rPr>
          <w:rFonts w:ascii="Calibri" w:hAnsi="Calibri"/>
          <w:i w:val="0"/>
          <w:color w:val="1E293B"/>
          <w:sz w:val="20"/>
        </w:rPr>
        <w:t>StrategemOps is the sister app that ingests public-homebuilder financial filings and earnings narratives. StrategemSignal mirrors 14 tables from StrategemOps monthly through a single bridge (ops-snapshot-pipeline.ts). No user-facing v2 code ever queries StrategemOps directly — all reads go through the local ops_* mirror tables. The snapshot has a daily self-heal cron that only fires if the most recent snapshot failed or is older than 35 days.</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Companies roster</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Public-homebuilder directory: ticker, company name, CIK, exchange, builder category, IR URL.</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 (+ daily self-heal if stale)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 · ops-snapshot.yml · ops-snapshot-retry.yml</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ops_companies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Competitive Landscape card (company names beside tickers), Acquisition Targets card</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Public builders only (~18 names). Private builders are a Phase 4 pipeline.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app · curly-mud-45701913 Neon project</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Builder Market Presence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LLM-extracted mapping of which public builders cite which metros in their earnings calls (Filter 4 extractor output). Includes confidence (high/medium/low) and mention count.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ops_builder_markets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4 (Competitive Landscape score), Competitive Landscape UI card, Acquisition Targets UI card</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Only covers the ~18 public builders. 326 (builder, market) pairs across 18 builders and 74 markets at last snapshot.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earnings-narrative extractor</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Financial Periods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period metadata (fiscal quarter, calendar quarter, filing date) for all tracked builders.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ops_financial_periods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Joined into ops_financial_facts for the Market Health PDF footer citations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Fiscal-year variations between builders are handled but add minor quarter-alignment complexity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EDGAR ingest</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Financial Facts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revenue, gross margin, SG&amp;A, cash flow, backlog, orders, closings by builder and period.</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ops_financial_facts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3.11 Acquisition rebuild (book value, closings volume per target); peer-benchmark context in future iterations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Subject to EDGAR parsing coverage — Phase 3 gap: some builders disclose lot data only in 10-K, not 8-K</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SEC EDGAR via StrategemOps parser</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Builder Operating KPIs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Per-builder community count, avg sales price, cancellation rate, and other operating metrics.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ops_builder_operating_kpis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 peer-comparison overlays in Portfolio Health</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Coverage varies by builder disclosure discipline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SEC EDGAR via StrategemOps parser</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Incentive Tracking</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Promotional incentives (rate buydowns, closing-cost credits) mentioned in earnings calls.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ops_incentive_tracking</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 alerts (incentive spike = margin compression signal)</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Narrative-derived; numerical precision is approximate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earnings-narrative extractor</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Management Narratives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Cleaned MD&amp;A and risk-factor text from 10-K / 10-Q filings. Heavy text fields NOT mirrored — we keep only metadata + MD&amp;A + risk factors.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ops_management_narratives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 natural-language market-commentary features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Parsed from semi-structured filing HTML; occasional formatting artifacts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SEC EDGAR via StrategemOps parser</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Innovation Theme Mentions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LLM-tagged mentions of innovation themes (BTR, modular, energy efficiency, AI, etc.) in earnings calls.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ops_innovation_theme_mentions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future strategic-scanning features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Theme taxonomy is curated manually; gaps reflect that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earnings-narrative extractor</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Sentiment Scores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Per-builder, per-quarter sentiment scores from earnings-call analysis.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ops_sentiment_scores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 StrategemSignal does not currently surface sentiment. Kept in mirror for Phase 4 features.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Currently scored with gpt-4.1-mini; upgrade to gpt-4.1 is a tracked deferral per memory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sentiment pipeline</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Sector Sentiment Composite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Rolled-up sector-level sentiment (aggregated across builders).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ops_sector_sentiment_composite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Same as sentiment_scores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sentiment pipeline</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Earnings Calendar</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Upcoming earnings-call dates for tracked builders.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ops_earnings_calendar</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 alerts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Self-populating; occasional late-date corrections by builders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earnings-calendar pipeline</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Benchmark Ranges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Industry benchmark bands (low / mid / high) for operating and financial metrics.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Full-replace on snapshot (small table)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ops_benchmark_ranges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Reserved for Phase 4 Portfolio Health band overlays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Curated manually in StrategemOps admin</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benchmark admin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Source Documents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Metadata for source filings (NOT the text body — kept in StrategemOps).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Full-replace on snapshot</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ops_source_documents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View Sources modal (Phase 4.5) for traceability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Text body intentionally NOT mirrored to keep StrategemSignal DB small</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SEC EDGAR</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Filings metadata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Filing-level metadata (ticker, form type, accession number, filed date) — text body NOT mirrored.</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Full-replace on snapshot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ops_filings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View Sources modal (Phase 4.5)</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Text body in StrategemOps only</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SEC EDGAR</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 Company Universe Registry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Active/inactive status of tracked companies; controls which appear in the roster.</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1st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ops-snapshot-pipeline.ts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ops_company_universe_registry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Gates which companies show up in ops_companies for v2 queries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None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roster admin</w:t>
            </w:r>
          </w:p>
        </w:tc>
      </w:tr>
    </w:tbl>
    <w:p>
      <w:pPr>
        <w:spacing w:before="240" w:after="80"/>
      </w:pPr>
      <w:r>
        <w:rPr>
          <w:rFonts w:ascii="Calibri" w:hAnsi="Calibri"/>
          <w:b/>
          <w:color w:val="EA580C"/>
          <w:sz w:val="30"/>
        </w:rPr>
        <w:t>1.4 · AI &amp; LLM Services</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OpenAI · gpt-4.1</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Generates the per-market narrative blurbs (Portfolio Health blurb + Market Opportunity blurb). Structured JSON output with explicit guardrails to never cite a composite score.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23rd @ 12:00 UTC (after scoring runs)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market-narratives-pipeline.ts · market-narratives.yml · /api/cron/market-narratives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market_narratives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 drilldown page narrative blocks, heatmap hover popup, PDF export Market Health section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Generates ~199 narratives per monthly run; failures retry within run but do not block the scoring pipeline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OpenAI API; prompt-locked to preset-neutral language per Phase 2 decision</w:t>
            </w:r>
          </w:p>
        </w:tc>
      </w:tr>
    </w:tbl>
    <w:p>
      <w:pPr>
        <w:spacing w:before="240" w:after="80"/>
      </w:pPr>
      <w:r>
        <w:rPr>
          <w:rFonts w:ascii="Calibri" w:hAnsi="Calibri"/>
          <w:b/>
          <w:color w:val="EA580C"/>
          <w:sz w:val="30"/>
        </w:rPr>
        <w:t>1.5 · Computed Snapshot Tables (not external data, but primary read surface)</w:t>
      </w:r>
    </w:p>
    <w:p>
      <w:pPr>
        <w:spacing w:line="276" w:lineRule="auto"/>
      </w:pPr>
      <w:r>
        <w:rPr>
          <w:rFonts w:ascii="Calibri" w:hAnsi="Calibri"/>
          <w:i w:val="0"/>
          <w:color w:val="1E293B"/>
          <w:sz w:val="20"/>
        </w:rPr>
        <w:t>These tables are not ingested from external sources — they are computed from the upstream federal + StrategemOps data above. Listed here because the user-facing app reads from them directly, so it's where most "View Sources" trails will terminate for UI purposes.</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 Health Snapshot</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per-market Financial / Demand / Operational sub-scores (0-100) + JSON inputs tuple for every data point that fed them.</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22nd @ 11:00 UTC</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portfolio-health-pipeline.ts · portfolio-health.yml · /api/cron/portfolio-health</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portfolio_health_snapshots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Heatmap, Markets list, Market drilldown page, Business Case PDF Market Health section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Derived from upstream data — gaps in upstream feeds (e.g. permit lag) propagate as null sub-scores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 — scorer in src/lib/scoring/portfolio-health.ts</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 Opportunity Scores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per-market six-filter scores (Migration + Demand, Employment Diversity, Supply-Demand Imbalance, Competitive Landscape, Affordability Runway, Operational Feasibility) + JSON input traces.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 22nd @ 11:15 UTC</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market-opportunity-pipeline.ts · market-opportunity.yml · /api/cron/market-opportunity</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market_opportunity_scores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Markets list + drilldown per-filter views; Phase 4 ranking views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Phase 2 Filter 5 was FHFA-stubbed until FHFA pipeline landed; now live</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 — scorer in src/lib/scoring/market-opportunity.ts</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Fetch Logs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One row per pipeline run: status, duration, row counts, error messages. Used by the daily self-heal and the admin health page.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Written by every pipeline on every run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All pipelines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fetch_logs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Admin health page, ops-snapshot-retry cron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 — diagnostic table only</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w:t>
            </w:r>
          </w:p>
        </w:tc>
      </w:tr>
    </w:tbl>
    <w:p>
      <w:pPr>
        <w:spacing w:before="240" w:after="80"/>
      </w:pPr>
      <w:r>
        <w:rPr>
          <w:rFonts w:ascii="Calibri" w:hAnsi="Calibri"/>
          <w:b/>
          <w:color w:val="EA580C"/>
          <w:sz w:val="30"/>
        </w:rPr>
        <w:t>1.6 · Tenant &amp; User Data (not external; for completeness)</w:t>
      </w:r>
    </w:p>
    <w:p>
      <w:pPr>
        <w:spacing w:line="276" w:lineRule="auto"/>
      </w:pPr>
      <w:r>
        <w:rPr>
          <w:rFonts w:ascii="Calibri" w:hAnsi="Calibri"/>
          <w:color w:val="6B7280"/>
          <w:sz w:val="20"/>
        </w:rPr>
        <w:t>These tables are user-generated, not ingested. Listed for completeness since they appear in the View Sources modal trail.</w:t>
      </w:r>
    </w:p>
    <w:tbl>
      <w:tblPr>
        <w:tblW w:type="auto" w:w="0"/>
        <w:jc w:val="left"/>
        <w:tblLayout w:type="fixed"/>
        <w:tblLook w:firstColumn="1" w:firstRow="1" w:lastColumn="0" w:lastRow="0" w:noHBand="0" w:noVBand="1" w:val="04A0"/>
      </w:tblPr>
      <w:tblGrid>
        <w:gridCol w:w="1767"/>
        <w:gridCol w:w="1767"/>
        <w:gridCol w:w="1767"/>
        <w:gridCol w:w="1767"/>
        <w:gridCol w:w="1767"/>
        <w:gridCol w:w="1767"/>
        <w:gridCol w:w="1767"/>
        <w:gridCol w:w="1767"/>
      </w:tblGrid>
      <w:tr>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What It Gives Us</w:t>
            </w:r>
          </w:p>
        </w:tc>
        <w:tc>
          <w:tcPr>
            <w:tcW w:type="dxa" w:w="136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Pipeline / Cron</w:t>
            </w:r>
          </w:p>
        </w:tc>
        <w:tc>
          <w:tcPr>
            <w:tcW w:type="dxa" w:w="1587"/>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Database Table(s)</w:t>
            </w:r>
          </w:p>
        </w:tc>
        <w:tc>
          <w:tcPr>
            <w:tcW w:type="dxa" w:w="192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Consumed By</w:t>
            </w:r>
          </w:p>
        </w:tc>
        <w:tc>
          <w:tcPr>
            <w:tcW w:type="dxa" w:w="170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Coverage Gaps</w:t>
            </w:r>
          </w:p>
        </w:tc>
        <w:tc>
          <w:tcPr>
            <w:tcW w:type="dxa" w:w="226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Source Citation</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Orgs, Users, Memberships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Multi-tenant foundation: which user belongs to which org, with what role.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 signup / settings change</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Auth flow, /api/auth/login, settings actions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orgs, users, org_memberships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Auth, tenant isolation, admin UI</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 — created via signup + admin invites</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Tracked + Watchlist Markets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Per-user market filter (which metros this user cares about) and watchlist (flagged for alerts).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 user action</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Settings actions · /settings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tracked_markets, watchlist_markets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Markets list filter, heatmap scope, Phase 4 alerts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w:t>
            </w:r>
          </w:p>
        </w:tc>
      </w:tr>
      <w:tr>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Health Score Weights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Per-user weighting preset for blending Financial / Demand / Operational into composite. One row per (user, org).</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 user action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Settings actions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health_score_weights</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Heatmap composite coloring, markets table composite column</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 — client recomputes composite from stored sub-scores on every view</w:t>
            </w:r>
          </w:p>
        </w:tc>
        <w:tc>
          <w:tcPr>
            <w:tcW w:type="dxa" w:w="1767"/>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w:t>
            </w:r>
          </w:p>
        </w:tc>
      </w:tr>
      <w:tr>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Flags, Business Cases, Alert Preferences, Alerts, Audit Log</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Per-user workflow artifacts.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 user action</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Various server actions</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flags, business_cases, alert_preferences, alerts, audit_log</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 drilldown flags, business case library, Phase 4 alerts, compliance audit</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N/A</w:t>
            </w:r>
          </w:p>
        </w:tc>
        <w:tc>
          <w:tcPr>
            <w:tcW w:type="dxa" w:w="1767"/>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Internal</w:t>
            </w:r>
          </w:p>
        </w:tc>
      </w:tr>
    </w:tbl>
    <w:p>
      <w:r>
        <w:br w:type="page"/>
      </w:r>
    </w:p>
    <w:p>
      <w:pPr>
        <w:spacing w:before="360" w:after="120"/>
      </w:pPr>
      <w:r>
        <w:rPr>
          <w:rFonts w:ascii="Calibri" w:hAnsi="Calibri"/>
          <w:b/>
          <w:color w:val="F97316"/>
          <w:sz w:val="40"/>
        </w:rPr>
        <w:t>2 · Cross-Reference by Feature</w:t>
      </w:r>
    </w:p>
    <w:p>
      <w:pPr>
        <w:spacing w:line="276" w:lineRule="auto"/>
      </w:pPr>
      <w:r>
        <w:rPr>
          <w:rFonts w:ascii="Calibri" w:hAnsi="Calibri"/>
          <w:i w:val="0"/>
          <w:color w:val="1E293B"/>
          <w:sz w:val="20"/>
        </w:rPr>
        <w:t>The inverse view of Section 1: for each major user-facing feature, which data sources feed it. Useful for impact analysis when a source goes down or changes format.</w:t>
      </w:r>
    </w:p>
    <w:tbl>
      <w:tblPr>
        <w:tblW w:type="auto" w:w="0"/>
        <w:jc w:val="left"/>
        <w:tblLayout w:type="fixed"/>
        <w:tblLook w:firstColumn="1" w:firstRow="1" w:lastColumn="0" w:lastRow="0" w:noHBand="0" w:noVBand="1" w:val="04A0"/>
      </w:tblPr>
      <w:tblGrid>
        <w:gridCol w:w="3535"/>
        <w:gridCol w:w="3535"/>
        <w:gridCol w:w="3535"/>
        <w:gridCol w:w="3535"/>
      </w:tblGrid>
      <w:tr>
        <w:tc>
          <w:tcPr>
            <w:tcW w:type="dxa" w:w="311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Feature</w:t>
            </w:r>
          </w:p>
        </w:tc>
        <w:tc>
          <w:tcPr>
            <w:tcW w:type="dxa" w:w="1984"/>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Refresh Cadence</w:t>
            </w:r>
          </w:p>
        </w:tc>
        <w:tc>
          <w:tcPr>
            <w:tcW w:type="dxa" w:w="4535"/>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Data Sources</w:t>
            </w:r>
          </w:p>
        </w:tc>
        <w:tc>
          <w:tcPr>
            <w:tcW w:type="dxa" w:w="4252"/>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Tables Read</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Heatmap (Portfolio Health map)</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refresh</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BPS, Census ACS, Census PEP, BLS CES, BLS LAUS, BLS QCEW, OpenAI narratives</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permit_data, income_data, migration_data, employment_data, trade_capacity_data, portfolio_health_snapshots, market_narratives</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Markets list + drilldown</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refresh</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All Portfolio Health + all Market Opportunity sources (same as the scoring pipelines)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portfolio_health_snapshots, market_opportunity_scores, market_narratives</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 Organic Entry model</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Live re-run per slider move (in-browser, pure function)</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 ZHVI (median home price), BLS QCEW (construction wage → regional build-cost multiplier)</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zillow_zhvi, trade_capacity_data, geographies</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 Competitive Landscape card</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via ops-snapshot</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Builder Market Presence (from earnings-narrative extractor)</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ops_builder_markets, ops_companies</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 Acquisition Targets card</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via ops-snapshot</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Same as Competitive Landscape</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ops_builder_markets, ops_companies</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 Market Health section (PDF)</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refresh</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Everything that feeds Portfolio Health Financial/Demand/Operational sub-scores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portfolio_health_snapshots, market_narratives</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1 · Migration + Demand</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BPS, Census PEP, BLS CES, BLS LAUS</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permit_data, migration_data, employment_data</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2 · Employment Diversity</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(QCEW cadence)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QCEW 2-digit NAICS sector breakdown (fetched live in the scoring pipeline)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trade_capacity_data (base), plus live BLS QCEW sector call</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3 · Supply-Demand Imbalance</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BPS, Census PEP, derived permits-per-capita</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permit_data, migration_data</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4 · Competitive Landscape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 (ops-snapshot)</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Builder Market Presence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ops_builder_markets</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5 · Affordability Runway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Monthly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Census ACS (income), FHFA HPI (home-price trajectory)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income_data, fhfa_hpi</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6 · Operational Feasibility</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Quarterly (QCEW cadence) + annual (OEWS)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BLS QCEW (primary), BLS OEWS (supplemental where coverage exists)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trade_capacity_data, occupation_data</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Alerts (Phase 4)</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To be defined</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All upstream — decision-framed alerts fire on state changes across any tracked signal</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alerts + any signal table</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View Sources modal (Phase 4.5)</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Read-through on demand</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All tables above; traceability is the feature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fetch_logs + originating tables</w:t>
            </w:r>
          </w:p>
        </w:tc>
      </w:tr>
    </w:tbl>
    <w:p>
      <w:pPr>
        <w:spacing w:before="360" w:after="120"/>
      </w:pPr>
      <w:r>
        <w:rPr>
          <w:rFonts w:ascii="Calibri" w:hAnsi="Calibri"/>
          <w:b/>
          <w:color w:val="F97316"/>
          <w:sz w:val="40"/>
        </w:rPr>
        <w:t>3 · Known Coverage Gaps</w:t>
      </w:r>
    </w:p>
    <w:p>
      <w:pPr>
        <w:spacing w:line="276" w:lineRule="auto"/>
      </w:pPr>
      <w:r>
        <w:rPr>
          <w:rFonts w:ascii="Calibri" w:hAnsi="Calibri"/>
          <w:i w:val="0"/>
          <w:color w:val="1E293B"/>
          <w:sz w:val="20"/>
        </w:rPr>
        <w:t>Rolled up from the Coverage Gaps column of every source table. This is the running list of places we know the data is incomplete — useful for prioritizing Phase 4 pipeline work and for setting honest expectations when defending a number.</w:t>
      </w:r>
    </w:p>
    <w:tbl>
      <w:tblPr>
        <w:tblW w:type="auto" w:w="0"/>
        <w:jc w:val="left"/>
        <w:tblLayout w:type="fixed"/>
        <w:tblLook w:firstColumn="1" w:firstRow="1" w:lastColumn="0" w:lastRow="0" w:noHBand="0" w:noVBand="1" w:val="04A0"/>
      </w:tblPr>
      <w:tblGrid>
        <w:gridCol w:w="3535"/>
        <w:gridCol w:w="3535"/>
        <w:gridCol w:w="3535"/>
        <w:gridCol w:w="3535"/>
      </w:tblGrid>
      <w:tr>
        <w:tc>
          <w:tcPr>
            <w:tcW w:type="dxa" w:w="2551"/>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Gap</w:t>
            </w:r>
          </w:p>
        </w:tc>
        <w:tc>
          <w:tcPr>
            <w:tcW w:type="dxa" w:w="3402"/>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Description</w:t>
            </w:r>
          </w:p>
        </w:tc>
        <w:tc>
          <w:tcPr>
            <w:tcW w:type="dxa" w:w="3118"/>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Current Handling</w:t>
            </w:r>
          </w:p>
        </w:tc>
        <w:tc>
          <w:tcPr>
            <w:tcW w:type="dxa" w:w="4819"/>
            <w:shd w:val="clear" w:color="auto" w:fill="F97316"/>
            <w:vAlign w:val="top"/>
            <w:tcBorders>
              <w:top w:val="single" w:sz="6" w:color="F97316"/>
              <w:left w:val="single" w:sz="6" w:color="F97316"/>
              <w:bottom w:val="single" w:sz="6" w:color="F97316"/>
              <w:right w:val="single" w:sz="6" w:color="F97316"/>
            </w:tcBorders>
          </w:tcPr>
          <w:p>
            <w:pPr>
              <w:jc w:val="left"/>
            </w:pPr>
            <w:r>
              <w:rPr>
                <w:rFonts w:ascii="Calibri" w:hAnsi="Calibri"/>
                <w:b/>
                <w:color w:val="FFFFFF"/>
                <w:sz w:val="18"/>
              </w:rPr>
              <w:t>Resolution Path</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Zillow ZHVI · 4 unmatched markets</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Aguadilla-Isabela PR, San Juan-Carolina-Caguas PR, Dayton-Kettering OH, Prescott Valley-Prescott AZ. No Zillow coverage at all.</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Business Case Organic model cannot compute for these markets (returns empty result with a warning).</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Phase 4 — source a PR-specific + Ohio-specific home-value feed, or document as out-of-scope.</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Private builder market presence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Competitive Landscape card covers only ~18 public builders via earnings narratives. Regional + private builders invisible.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Coverage footer on the Competitive Landscape card flags the gap. Card is public-only by design in v1.</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Phase 4.13 — build private-builder pipeline (NAHB Builder 400 paid feed, Zonda, or county-permit scraping).</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Acquisition cost modeling</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Current v1 shows the Competitive Landscape as a list; no per-builder cost math. The v1 Acquisition Targets card is just a list — the CEO decides suitability.</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Clearly labeled. Prior 'goodwill premium per unit' number was retired in Phase 3.10b as misleading.</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Phase 4.14 — rebuild Acquisition Entry model with acquirer-vs-target scale logic, book value, integration cost. Depends on 4.13.</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OEWS coverage limits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Only ~7 of 52 tracked markets have OEWS data at the metro level.</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Filter 6 uses QCEW as primary and falls back to OEWS where available; scoring is robust to OEWS gaps.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Accept as structural — BLS does not publish metro-level OEWS for smaller metros.</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ACS income lag</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One-year structural lag on median household income.</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Documented; Filter 5 operates on the latest available vintage.</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No fix available. Accept.</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FRED / CES / LAUS mirror lag</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~15-day delay vs direct BLS.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Acceptable for monthly cadence.</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Accept — rate limits and reliability are worth the 2-week lag.</w:t>
            </w:r>
          </w:p>
        </w:tc>
      </w:tr>
      <w:tr>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EDGAR parsing — lot data</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Some builders disclose lot positions only in 10-K (annual), not 8-K (quarterly). Phase 3 known gap.</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Competitive Landscape data is narrative-derived and unaffected. Phase 3.11 Acquisition rebuild will need to handle this.</w:t>
            </w:r>
          </w:p>
        </w:tc>
        <w:tc>
          <w:tcPr>
            <w:tcW w:type="dxa" w:w="353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StrategemOps parser enhancement (cross-project).</w:t>
            </w:r>
          </w:p>
        </w:tc>
      </w:tr>
      <w:tr>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Sentiment scoring model</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ops_sentiment_scores still on gpt-4.1-mini; upgrade to gpt-4.1 is deferred.</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Not currently surfaced in StrategemSignal; will be upgraded before the feature lands.</w:t>
            </w:r>
          </w:p>
        </w:tc>
        <w:tc>
          <w:tcPr>
            <w:tcW w:type="dxa" w:w="3535"/>
            <w:shd w:val="clear" w:color="auto" w:fill="FFFBF5"/>
            <w:vAlign w:val="top"/>
            <w:tcBorders>
              <w:top w:val="single" w:sz="4" w:color="E5E7EB"/>
              <w:left w:val="single" w:sz="4" w:color="E5E7EB"/>
              <w:bottom w:val="single" w:sz="4" w:color="E5E7EB"/>
              <w:right w:val="single" w:sz="4" w:color="E5E7EB"/>
            </w:tcBorders>
          </w:tcPr>
          <w:p>
            <w:pPr>
              <w:jc w:val="left"/>
            </w:pPr>
            <w:r>
              <w:rPr>
                <w:rFonts w:ascii="Calibri" w:hAnsi="Calibri"/>
                <w:b w:val="0"/>
                <w:color w:val="1E293B"/>
                <w:sz w:val="18"/>
              </w:rPr>
              <w:t>Cross-project — StrategemOps retro-score initiative.</w:t>
            </w:r>
          </w:p>
        </w:tc>
      </w:tr>
    </w:tbl>
    <w:p/>
    <w:p>
      <w:pPr>
        <w:spacing w:line="276" w:lineRule="auto"/>
      </w:pPr>
      <w:r>
        <w:rPr>
          <w:rFonts w:ascii="Calibri" w:hAnsi="Calibri"/>
          <w:color w:val="6B7280"/>
          <w:sz w:val="20"/>
        </w:rPr>
        <w:t>This document is maintained alongside the code. When a new pipeline lands or an existing source changes cadence, update the corresponding row and re-run scripts/generate_data_sources_doc.py. The canonical copy lives at StrategemSignal_Data_Sources.docx in the project root.</w:t>
      </w:r>
    </w:p>
    <w:sectPr w:rsidR="00FC693F" w:rsidRPr="0006063C" w:rsidSect="00034616">
      <w:pgSz w:w="15840" w:h="12240"/>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