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F3864"/>
          <w:sz w:val="72"/>
          <w:szCs w:val="72"/>
        </w:rPr>
        <w:t xml:space="preserve">ECONLIFE</w:t>
      </w:r>
    </w:p>
    <w:p>
      <w:pPr>
        <w:spacing w:after="80" w:before="0"/>
        <w:jc w:val="center"/>
      </w:pPr>
      <w:r>
        <w:rPr>
          <w:rFonts w:ascii="Arial" w:cs="Arial" w:eastAsia="Arial" w:hAnsi="Arial"/>
          <w:color w:val="2E5F8A"/>
          <w:sz w:val="36"/>
          <w:szCs w:val="36"/>
        </w:rPr>
        <w:t xml:space="preserve">Game Design Document — Audit Report</w:t>
      </w:r>
    </w:p>
    <w:p>
      <w:pPr>
        <w:spacing w:after="40" w:before="0"/>
        <w:jc w:val="center"/>
      </w:pPr>
      <w:r>
        <w:rPr>
          <w:rFonts w:ascii="Arial" w:cs="Arial" w:eastAsia="Arial" w:hAnsi="Arial"/>
          <w:color w:val="777777"/>
          <w:sz w:val="24"/>
          <w:szCs w:val="24"/>
        </w:rPr>
        <w:t xml:space="preserve">GDD v1.2  |  March 2026</w:t>
      </w:r>
    </w:p>
    <w:p>
      <w:pPr>
        <w:spacing w:after="120" w:before="0"/>
      </w:pPr>
      <w:r>
        <w:t xml:space="preserve"/>
      </w:r>
    </w:p>
    <w:p>
      <w:pPr>
        <w:pBdr>
          <w:bottom w:val="single" w:color="D6E4F0" w:sz="6"/>
        </w:pBdr>
        <w:jc w:val="center"/>
      </w:pPr>
      <w:r>
        <w:t xml:space="preserve"/>
      </w:r>
    </w:p>
    <w:p>
      <w:pPr>
        <w:spacing w:after="240" w:before="0"/>
      </w:pPr>
      <w:r>
        <w:t xml:space="preserve"/>
      </w:r>
    </w:p>
    <w:p>
      <w:pPr>
        <w:jc w:val="center"/>
      </w:pPr>
      <w:r>
        <w:rPr>
          <w:rFonts w:ascii="Arial" w:cs="Arial" w:eastAsia="Arial" w:hAnsi="Arial"/>
          <w:i/>
          <w:iCs/>
          <w:color w:val="666666"/>
          <w:sz w:val="22"/>
          <w:szCs w:val="22"/>
        </w:rPr>
        <w:t xml:space="preserve">Focus: Missing concepts, implementation gaps, scope issues, and internal contradictions</w:t>
      </w:r>
    </w:p>
    <w:p>
      <w:r>
        <w:br w:type="page"/>
      </w:r>
    </w:p>
    <w:p>
      <w:pPr>
        <w:pStyle w:val="Heading1"/>
        <w:spacing w:after="120" w:before="360"/>
      </w:pPr>
      <w:r>
        <w:rPr>
          <w:rFonts w:ascii="Arial" w:cs="Arial" w:eastAsia="Arial" w:hAnsi="Arial"/>
          <w:b/>
          <w:bCs/>
          <w:color w:val="1F3864"/>
          <w:sz w:val="36"/>
          <w:szCs w:val="36"/>
        </w:rPr>
        <w:t xml:space="preserve">High-Level Overview</w:t>
      </w:r>
    </w:p>
    <w:p>
      <w:pPr>
        <w:pBdr>
          <w:bottom w:val="single" w:color="D6E4F0" w:sz="4"/>
        </w:pBdr>
        <w:spacing w:after="120" w:before="120"/>
      </w:pPr>
      <w:r>
        <w:t xml:space="preserve"/>
      </w:r>
    </w:p>
    <w:p>
      <w:pPr>
        <w:spacing w:after="60" w:before="0"/>
      </w:pPr>
      <w:r>
        <w:t xml:space="preserve"/>
      </w:r>
    </w:p>
    <w:p>
      <w:pPr>
        <w:pStyle w:val="Heading2"/>
        <w:spacing w:after="100" w:before="300"/>
      </w:pPr>
      <w:r>
        <w:rPr>
          <w:rFonts w:ascii="Arial" w:cs="Arial" w:eastAsia="Arial" w:hAnsi="Arial"/>
          <w:b/>
          <w:bCs/>
          <w:color w:val="2E5F8A"/>
          <w:sz w:val="28"/>
          <w:szCs w:val="28"/>
        </w:rPr>
        <w:t xml:space="preserve">What is EconLife?</w:t>
      </w:r>
    </w:p>
    <w:p>
      <w:pPr>
        <w:spacing w:after="120" w:before="60"/>
      </w:pPr>
      <w:r>
        <w:rPr>
          <w:rFonts w:ascii="Arial" w:cs="Arial" w:eastAsia="Arial" w:hAnsi="Arial"/>
          <w:sz w:val="22"/>
          <w:szCs w:val="22"/>
        </w:rPr>
        <w:t xml:space="preserve">EconLife is an open-ended life and economy simulator set in a procedurally generated world running entirely on simulation rules — no authored narrative, no scripted events. The player inhabits a persistent world modeled from the year 2000 onward and can occupy any economic role: minimum-wage worker, factory owner, politician, crime boss, or shadowy string-puller. The world runs whether the player acts or not, and nothing is consequence-free.</w:t>
      </w:r>
    </w:p>
    <w:p>
      <w:pPr>
        <w:spacing w:after="120" w:before="60"/>
      </w:pPr>
      <w:r>
        <w:rPr>
          <w:rFonts w:ascii="Arial" w:cs="Arial" w:eastAsia="Arial" w:hAnsi="Arial"/>
          <w:sz w:val="22"/>
          <w:szCs w:val="22"/>
        </w:rPr>
        <w:t xml:space="preserve">The game's central insight is that wealth changes the nature of the challenge rather than ending it. It presents three distinct challenge types that players cycle through: Survival (scarcity-driven), Dominance (strategic competition), and Preservation (defending accumulated power from those who want to dismantle it). This is the structural solution to the "hollow endgame" problem common to tycoon games.</w:t>
      </w:r>
    </w:p>
    <w:p>
      <w:pPr>
        <w:spacing w:after="60" w:before="0"/>
      </w:pPr>
      <w:r>
        <w:t xml:space="preserve"/>
      </w:r>
    </w:p>
    <w:p>
      <w:pPr>
        <w:pStyle w:val="Heading2"/>
        <w:spacing w:after="100" w:before="300"/>
      </w:pPr>
      <w:r>
        <w:rPr>
          <w:rFonts w:ascii="Arial" w:cs="Arial" w:eastAsia="Arial" w:hAnsi="Arial"/>
          <w:b/>
          <w:bCs/>
          <w:color w:val="2E5F8A"/>
          <w:sz w:val="28"/>
          <w:szCs w:val="28"/>
        </w:rPr>
        <w:t xml:space="preserve">Core Design Philosophy</w:t>
      </w:r>
    </w:p>
    <w:p>
      <w:pPr>
        <w:spacing w:after="120" w:before="60"/>
      </w:pPr>
      <w:r>
        <w:rPr>
          <w:rFonts w:ascii="Arial" w:cs="Arial" w:eastAsia="Arial" w:hAnsi="Arial"/>
          <w:sz w:val="22"/>
          <w:szCs w:val="22"/>
        </w:rPr>
        <w:t xml:space="preserve">Four design pillars are non-negotiable and explicitly protected in the document:</w:t>
      </w:r>
    </w:p>
    <w:p>
      <w:pPr>
        <w:pStyle w:val="ListParagraph"/>
        <w:numPr>
          <w:ilvl w:val="0"/>
          <w:numId w:val="2"/>
        </w:numPr>
        <w:spacing w:after="40" w:before="40"/>
      </w:pPr>
      <w:r>
        <w:rPr>
          <w:rFonts w:ascii="Arial" w:cs="Arial" w:eastAsia="Arial" w:hAnsi="Arial"/>
          <w:sz w:val="22"/>
          <w:szCs w:val="22"/>
        </w:rPr>
        <w:t xml:space="preserve">Systems over content — emergent stories from simulation, never scripted substitutes</w:t>
      </w:r>
    </w:p>
    <w:p>
      <w:pPr>
        <w:pStyle w:val="ListParagraph"/>
        <w:numPr>
          <w:ilvl w:val="0"/>
          <w:numId w:val="2"/>
        </w:numPr>
        <w:spacing w:after="40" w:before="40"/>
      </w:pPr>
      <w:r>
        <w:rPr>
          <w:rFonts w:ascii="Arial" w:cs="Arial" w:eastAsia="Arial" w:hAnsi="Arial"/>
          <w:sz w:val="22"/>
          <w:szCs w:val="22"/>
        </w:rPr>
        <w:t xml:space="preserve">No morality score — consequences are logical outcomes, not authorial judgments</w:t>
      </w:r>
    </w:p>
    <w:p>
      <w:pPr>
        <w:pStyle w:val="ListParagraph"/>
        <w:numPr>
          <w:ilvl w:val="0"/>
          <w:numId w:val="2"/>
        </w:numPr>
        <w:spacing w:after="40" w:before="40"/>
      </w:pPr>
      <w:r>
        <w:rPr>
          <w:rFonts w:ascii="Arial" w:cs="Arial" w:eastAsia="Arial" w:hAnsi="Arial"/>
          <w:sz w:val="22"/>
          <w:szCs w:val="22"/>
        </w:rPr>
        <w:t xml:space="preserve">Device-mediated information — the player sees only what their contact network provides</w:t>
      </w:r>
    </w:p>
    <w:p>
      <w:pPr>
        <w:pStyle w:val="ListParagraph"/>
        <w:numPr>
          <w:ilvl w:val="0"/>
          <w:numId w:val="2"/>
        </w:numPr>
        <w:spacing w:after="40" w:before="40"/>
      </w:pPr>
      <w:r>
        <w:rPr>
          <w:rFonts w:ascii="Arial" w:cs="Arial" w:eastAsia="Arial" w:hAnsi="Arial"/>
          <w:sz w:val="22"/>
          <w:szCs w:val="22"/>
        </w:rPr>
        <w:t xml:space="preserve">No reload — continuous autosave makes the consequence queue meaningful</w:t>
      </w:r>
    </w:p>
    <w:p>
      <w:pPr>
        <w:spacing w:after="120" w:before="60"/>
      </w:pPr>
      <w:r>
        <w:rPr>
          <w:rFonts w:ascii="Arial" w:cs="Arial" w:eastAsia="Arial" w:hAnsi="Arial"/>
          <w:sz w:val="22"/>
          <w:szCs w:val="22"/>
        </w:rPr>
        <w:t xml:space="preserve">The game is intended to be simulation-complete: every NPC has memory, motivation, relationships, and independent behavior. The world response system means that actions have delayed, traceable, cascading consequences through evidence trails, obligation networks, and community grievance escalation.</w:t>
      </w:r>
    </w:p>
    <w:p>
      <w:pPr>
        <w:spacing w:after="60" w:before="0"/>
      </w:pPr>
      <w:r>
        <w:t xml:space="preserve"/>
      </w:r>
    </w:p>
    <w:p>
      <w:pPr>
        <w:pStyle w:val="Heading2"/>
        <w:spacing w:after="100" w:before="300"/>
      </w:pPr>
      <w:r>
        <w:rPr>
          <w:rFonts w:ascii="Arial" w:cs="Arial" w:eastAsia="Arial" w:hAnsi="Arial"/>
          <w:b/>
          <w:bCs/>
          <w:color w:val="2E5F8A"/>
          <w:sz w:val="28"/>
          <w:szCs w:val="28"/>
        </w:rPr>
        <w:t xml:space="preserve">Main Systems</w:t>
      </w:r>
    </w:p>
    <w:p>
      <w:pPr>
        <w:spacing w:after="120" w:before="60"/>
      </w:pPr>
      <w:r>
        <w:rPr>
          <w:rFonts w:ascii="Arial" w:cs="Arial" w:eastAsia="Arial" w:hAnsi="Arial"/>
          <w:sz w:val="22"/>
          <w:szCs w:val="22"/>
        </w:rPr>
        <w:t xml:space="preserve">The GDD describes an exceptionally broad set of interconnected systems across 23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8A" w:sz="1"/>
              <w:left w:val="single" w:color="2E5F8A" w:sz="1"/>
              <w:bottom w:val="single" w:color="2E5F8A" w:sz="1"/>
              <w:right w:val="single" w:color="2E5F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7160"/>
            <w:tcBorders>
              <w:top w:val="single" w:color="2E5F8A" w:sz="1"/>
              <w:left w:val="single" w:color="2E5F8A" w:sz="1"/>
              <w:bottom w:val="single" w:color="2E5F8A" w:sz="1"/>
              <w:right w:val="single" w:color="2E5F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NPC Architecture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500–1000 Significant NPCs per region with memory logs, motivation models, relationship networks, and risk tolerance. Behavior emerges from attributes, not scripted states.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Full Economy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Multi-tier supply chain (raw resources → processing → manufacturing → distribution), dynamic pricing with one-tick lag, NPC businesses as active competitors, labor supply/demand.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Criminal Economy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Drug supply chain, money laundering, money counting, alternative identities, evidence trails, operational security, informant risk, and cartel territorial conflict (V1). Trafficking and weapons (Expansion).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Exposure &amp; Consequence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tokens that persist until neutralized. Investigator engine with journalists, regulators, LE, and international agencies. Consequence queue for delayed outcomes that survive player death.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Obligation Network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Favor-and-ask escalation system that ratchets unpredictably. Politicians, fixers, and contacts trade obligations that become demands. Core late-game pressure mechanism.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Influence Architecture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types: trust-earned, obligation-compelled, fear-based (leverage), ideological (movement). Decay and rebuild mechanics. Floor principle: some influence is permanently lost after betrayal.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Political System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Electoral coalitions, legislative voting, scandal management, corruption mechanics, drug policy votes, and the "clean politician" immune to leverage.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World Response System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grievance → opposition formation (7 escalation stages), media system with independent journalists, and consequence thresholds that fire when wealth/power crosses levels.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Facility Design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Top-down layout planning with room-based mechanics. Signal system for criminal detection risk. Bottleneck visualization. Worker knowledge accumulation tied to exposure risk.</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Succession &amp; Legacy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 death triggers heir or fresh-start choice. Company culture, laws, criminal markets, and philanthropic outcomes persist across generations.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R&amp;D &amp; Climate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tree with breakthrough/failure probability, climate model with CO2 accumulation over the 2000–2040+ arc, agricultural impact of regional climate stress.</w:t>
            </w:r>
          </w:p>
        </w:tc>
      </w:tr>
    </w:tbl>
    <w:p>
      <w:pPr>
        <w:spacing w:after="60" w:before="0"/>
      </w:pPr>
      <w:r>
        <w:t xml:space="preserve"/>
      </w:r>
    </w:p>
    <w:p>
      <w:pPr>
        <w:pStyle w:val="Heading2"/>
        <w:spacing w:after="100" w:before="300"/>
      </w:pPr>
      <w:r>
        <w:rPr>
          <w:rFonts w:ascii="Arial" w:cs="Arial" w:eastAsia="Arial" w:hAnsi="Arial"/>
          <w:b/>
          <w:bCs/>
          <w:color w:val="2E5F8A"/>
          <w:sz w:val="28"/>
          <w:szCs w:val="28"/>
        </w:rPr>
        <w:t xml:space="preserve">V1 Vertical Slice</w:t>
      </w:r>
    </w:p>
    <w:p>
      <w:pPr>
        <w:spacing w:after="120" w:before="60"/>
      </w:pPr>
      <w:r>
        <w:rPr>
          <w:rFonts w:ascii="Arial" w:cs="Arial" w:eastAsia="Arial" w:hAnsi="Arial"/>
          <w:sz w:val="22"/>
          <w:szCs w:val="22"/>
        </w:rPr>
        <w:t xml:space="preserve">V1 is scoped to: one nation, 3–5 regions, full legitimate business and political career paths, criminal economy limited to drugs and money laundering, and the complete consequence/exposure/obligation architecture. Excluded from V1: human trafficking, weapons trafficking, generational play, multi-nation operations, full endgame power spectrum. The document acknowledges V1 is "still enormously ambitious."</w:t>
      </w:r>
    </w:p>
    <w:p>
      <w:r>
        <w:br w:type="page"/>
      </w:r>
    </w:p>
    <w:p>
      <w:pPr>
        <w:pStyle w:val="Heading1"/>
        <w:spacing w:after="120" w:before="360"/>
      </w:pPr>
      <w:r>
        <w:rPr>
          <w:rFonts w:ascii="Arial" w:cs="Arial" w:eastAsia="Arial" w:hAnsi="Arial"/>
          <w:b/>
          <w:bCs/>
          <w:color w:val="1F3864"/>
          <w:sz w:val="36"/>
          <w:szCs w:val="36"/>
        </w:rPr>
        <w:t xml:space="preserve">Detailed Audit Report</w:t>
      </w:r>
    </w:p>
    <w:p>
      <w:pPr>
        <w:pBdr>
          <w:bottom w:val="single" w:color="D6E4F0" w:sz="4"/>
        </w:pBdr>
        <w:spacing w:after="120" w:before="120"/>
      </w:pPr>
      <w:r>
        <w:t xml:space="preserve"/>
      </w:r>
    </w:p>
    <w:p>
      <w:pPr>
        <w:spacing w:after="120" w:before="60"/>
      </w:pPr>
      <w:r>
        <w:rPr>
          <w:rFonts w:ascii="Arial" w:cs="Arial" w:eastAsia="Arial" w:hAnsi="Arial"/>
          <w:color w:val="555555"/>
          <w:sz w:val="22"/>
          <w:szCs w:val="22"/>
        </w:rPr>
        <w:t xml:space="preserve">Findings are organized by category. Each finding is classified by severity:</w:t>
      </w:r>
    </w:p>
    <w:p>
      <w:pPr>
        <w:spacing w:after="36" w:before="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tblGrid>
      <w:tr>
        <w:tc>
          <w:tcPr>
            <w:tcW w:type="dxa" w:w="144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CRITICAL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Blocks implementation or creates a BLOCKER-class ambiguity</w:t>
            </w:r>
          </w:p>
        </w:tc>
      </w:tr>
      <w:tr>
        <w:tc>
          <w:tcPr>
            <w:tcW w:type="dxa" w:w="144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jc w:val="center"/>
            </w:pPr>
            <w:r>
              <w:rPr>
                <w:rFonts w:ascii="Arial" w:cs="Arial" w:eastAsia="Arial" w:hAnsi="Arial"/>
                <w:b/>
                <w:bCs/>
                <w:color w:val="C47D00"/>
                <w:sz w:val="20"/>
                <w:szCs w:val="20"/>
              </w:rPr>
              <w:t xml:space="preserve">MAJOR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Significant gap that will cause wrong implementation or design confusion</w:t>
            </w:r>
          </w:p>
        </w:tc>
      </w:tr>
      <w:tr>
        <w:tc>
          <w:tcPr>
            <w:tcW w:type="dxa" w:w="144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MINOR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Documentation clarity issue or low-impact discrepancy</w:t>
            </w:r>
          </w:p>
        </w:tc>
      </w:tr>
    </w:tbl>
    <w:p>
      <w:pPr>
        <w:spacing w:after="120" w:before="0"/>
      </w:pPr>
      <w:r>
        <w:t xml:space="preserve"/>
      </w:r>
    </w:p>
    <w:p>
      <w:pPr>
        <w:pStyle w:val="Heading2"/>
        <w:spacing w:after="100" w:before="300"/>
      </w:pPr>
      <w:r>
        <w:rPr>
          <w:rFonts w:ascii="Arial" w:cs="Arial" w:eastAsia="Arial" w:hAnsi="Arial"/>
          <w:b/>
          <w:bCs/>
          <w:color w:val="2E5F8A"/>
          <w:sz w:val="28"/>
          <w:szCs w:val="28"/>
        </w:rPr>
        <w:t xml:space="preserve">Quick Reference — All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00"/>
        <w:gridCol w:w="1440"/>
        <w:gridCol w:w="3960"/>
        <w:gridCol w:w="1920"/>
      </w:tblGrid>
      <w:tr>
        <w:trPr>
          <w:tblHeader/>
        </w:trPr>
        <w:tc>
          <w:tcPr>
            <w:tcW w:type="dxa" w:w="1440"/>
            <w:tcBorders>
              <w:top w:val="single" w:color="2E5F8A" w:sz="1"/>
              <w:left w:val="single" w:color="2E5F8A" w:sz="1"/>
              <w:bottom w:val="single" w:color="2E5F8A" w:sz="1"/>
              <w:right w:val="single" w:color="2E5F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00"/>
            <w:tcBorders>
              <w:top w:val="single" w:color="2E5F8A" w:sz="1"/>
              <w:left w:val="single" w:color="2E5F8A" w:sz="1"/>
              <w:bottom w:val="single" w:color="2E5F8A" w:sz="1"/>
              <w:right w:val="single" w:color="2E5F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40"/>
            <w:tcBorders>
              <w:top w:val="single" w:color="2E5F8A" w:sz="1"/>
              <w:left w:val="single" w:color="2E5F8A" w:sz="1"/>
              <w:bottom w:val="single" w:color="2E5F8A" w:sz="1"/>
              <w:right w:val="single" w:color="2E5F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960"/>
            <w:tcBorders>
              <w:top w:val="single" w:color="2E5F8A" w:sz="1"/>
              <w:left w:val="single" w:color="2E5F8A" w:sz="1"/>
              <w:bottom w:val="single" w:color="2E5F8A" w:sz="1"/>
              <w:right w:val="single" w:color="2E5F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920"/>
            <w:tcBorders>
              <w:top w:val="single" w:color="2E5F8A" w:sz="1"/>
              <w:left w:val="single" w:color="2E5F8A" w:sz="1"/>
              <w:bottom w:val="single" w:color="2E5F8A" w:sz="1"/>
              <w:right w:val="single" w:color="2E5F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440"/>
            <w:tcBorders>
              <w:top w:val="none" w:color="FFFFFF" w:sz="0"/>
              <w:left w:val="none" w:color="FFFFFF" w:sz="0"/>
              <w:bottom w:val="none" w:color="FFFFFF" w:sz="0"/>
              <w:right w:val="none" w:color="FFFFFF" w:sz="0"/>
            </w:tcBorders>
            <w:shd w:fill="FDECEA"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CRITICAL</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1.1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§21 Tick / §3 NPCs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Satisfaction Model: Derived vs. Cached — ambiguity blocks scenario tests</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Mechanical definition</w:t>
            </w:r>
          </w:p>
        </w:tc>
      </w:tr>
      <w:tr>
        <w:tc>
          <w:tcPr>
            <w:tcW w:type="dxa" w:w="1440"/>
            <w:tcBorders>
              <w:top w:val="none" w:color="FFFFFF" w:sz="0"/>
              <w:left w:val="none" w:color="FFFFFF" w:sz="0"/>
              <w:bottom w:val="none" w:color="FFFFFF" w:sz="0"/>
              <w:right w:val="none" w:color="FFFFFF" w:sz="0"/>
            </w:tcBorders>
            <w:shd w:fill="FDECEA"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CRITICAL</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1.2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§10.4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Obligation Escalation Mechanics Undefined</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Mechanical definition</w:t>
            </w:r>
          </w:p>
        </w:tc>
      </w:tr>
      <w:tr>
        <w:tc>
          <w:tcPr>
            <w:tcW w:type="dxa" w:w="1440"/>
            <w:tcBorders>
              <w:top w:val="none" w:color="FFFFFF" w:sz="0"/>
              <w:left w:val="none" w:color="FFFFFF" w:sz="0"/>
              <w:bottom w:val="none" w:color="FFFFFF" w:sz="0"/>
              <w:right w:val="none" w:color="FFFFFF" w:sz="0"/>
            </w:tcBorders>
            <w:shd w:fill="FDECEA"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CRITICAL</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1.3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§14.2 / §14.4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Community Response vs. Opposition Formation — relationship undefined</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Section gap</w:t>
            </w:r>
          </w:p>
        </w:tc>
      </w:tr>
      <w:tr>
        <w:tc>
          <w:tcPr>
            <w:tcW w:type="dxa" w:w="1440"/>
            <w:tcBorders>
              <w:top w:val="none" w:color="FFFFFF" w:sz="0"/>
              <w:left w:val="none" w:color="FFFFFF" w:sz="0"/>
              <w:bottom w:val="none" w:color="FFFFFF" w:sz="0"/>
              <w:right w:val="none" w:color="FFFFFF" w:sz="0"/>
            </w:tcBorders>
            <w:shd w:fill="FDECEA"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CRITICAL</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1.4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§12.1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Criminal Entry Conditions — street reputation scale inconsistent</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Contradiction</w:t>
            </w:r>
          </w:p>
        </w:tc>
      </w:tr>
      <w:tr>
        <w:tc>
          <w:tcPr>
            <w:tcW w:type="dxa" w:w="1440"/>
            <w:tcBorders>
              <w:top w:val="none" w:color="FFFFFF" w:sz="0"/>
              <w:left w:val="none" w:color="FFFFFF" w:sz="0"/>
              <w:bottom w:val="none" w:color="FFFFFF" w:sz="0"/>
              <w:right w:val="none" w:color="FFFFFF" w:sz="0"/>
            </w:tcBorders>
            <w:shd w:fill="FDECEA"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CRITICAL</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1.5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§21 step 22 / TDD §3</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Influence Decay: GDD says tick-wise, TDD moved to deferred queue</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Cross-doc conflict</w:t>
            </w:r>
          </w:p>
        </w:tc>
      </w:tr>
      <w:tr>
        <w:tc>
          <w:tcPr>
            <w:tcW w:type="dxa" w:w="1440"/>
            <w:tcBorders>
              <w:top w:val="none" w:color="FFFFFF" w:sz="0"/>
              <w:left w:val="none" w:color="FFFFFF" w:sz="0"/>
              <w:bottom w:val="none" w:color="FFFFFF" w:sz="0"/>
              <w:right w:val="none" w:color="FFFFFF" w:sz="0"/>
            </w:tcBorders>
            <w:shd w:fill="FFF3CD" w:val="clear"/>
            <w:tcMar>
              <w:top w:type="dxa" w:w="60"/>
              <w:left w:type="dxa" w:w="120"/>
              <w:bottom w:type="dxa" w:w="60"/>
              <w:right w:type="dxa" w:w="120"/>
            </w:tcMar>
            <w:vAlign w:val="center"/>
          </w:tcPr>
          <w:p>
            <w:pPr>
              <w:jc w:val="center"/>
            </w:pPr>
            <w:r>
              <w:rPr>
                <w:rFonts w:ascii="Arial" w:cs="Arial" w:eastAsia="Arial" w:hAnsi="Arial"/>
                <w:b/>
                <w:bCs/>
                <w:color w:val="C47D00"/>
                <w:sz w:val="18"/>
                <w:szCs w:val="18"/>
              </w:rPr>
              <w:t xml:space="preserve">MAJOR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2.1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§10.2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Evidence Token Lifecycle — no aging or expiration mechanic</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Missing concept</w:t>
            </w:r>
          </w:p>
        </w:tc>
      </w:tr>
      <w:tr>
        <w:tc>
          <w:tcPr>
            <w:tcW w:type="dxa" w:w="1440"/>
            <w:tcBorders>
              <w:top w:val="none" w:color="FFFFFF" w:sz="0"/>
              <w:left w:val="none" w:color="FFFFFF" w:sz="0"/>
              <w:bottom w:val="none" w:color="FFFFFF" w:sz="0"/>
              <w:right w:val="none" w:color="FFFFFF" w:sz="0"/>
            </w:tcBorders>
            <w:shd w:fill="FFF3CD" w:val="clear"/>
            <w:tcMar>
              <w:top w:type="dxa" w:w="60"/>
              <w:left w:type="dxa" w:w="120"/>
              <w:bottom w:type="dxa" w:w="60"/>
              <w:right w:type="dxa" w:w="120"/>
            </w:tcMar>
            <w:vAlign w:val="center"/>
          </w:tcPr>
          <w:p>
            <w:pPr>
              <w:jc w:val="center"/>
            </w:pPr>
            <w:r>
              <w:rPr>
                <w:rFonts w:ascii="Arial" w:cs="Arial" w:eastAsia="Arial" w:hAnsi="Arial"/>
                <w:b/>
                <w:bCs/>
                <w:color w:val="C47D00"/>
                <w:sz w:val="18"/>
                <w:szCs w:val="18"/>
              </w:rPr>
              <w:t xml:space="preserve">MAJOR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2.2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§12.2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Informant Mechanic — loyalty, mutual incrimination undefined</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Missing concept</w:t>
            </w:r>
          </w:p>
        </w:tc>
      </w:tr>
      <w:tr>
        <w:tc>
          <w:tcPr>
            <w:tcW w:type="dxa" w:w="1440"/>
            <w:tcBorders>
              <w:top w:val="none" w:color="FFFFFF" w:sz="0"/>
              <w:left w:val="none" w:color="FFFFFF" w:sz="0"/>
              <w:bottom w:val="none" w:color="FFFFFF" w:sz="0"/>
              <w:right w:val="none" w:color="FFFFFF" w:sz="0"/>
            </w:tcBorders>
            <w:shd w:fill="FFF3CD" w:val="clear"/>
            <w:tcMar>
              <w:top w:type="dxa" w:w="60"/>
              <w:left w:type="dxa" w:w="120"/>
              <w:bottom w:type="dxa" w:w="60"/>
              <w:right w:type="dxa" w:w="120"/>
            </w:tcMar>
            <w:vAlign w:val="center"/>
          </w:tcPr>
          <w:p>
            <w:pPr>
              <w:jc w:val="center"/>
            </w:pPr>
            <w:r>
              <w:rPr>
                <w:rFonts w:ascii="Arial" w:cs="Arial" w:eastAsia="Arial" w:hAnsi="Arial"/>
                <w:b/>
                <w:bCs/>
                <w:color w:val="C47D00"/>
                <w:sz w:val="18"/>
                <w:szCs w:val="18"/>
              </w:rPr>
              <w:t xml:space="preserve">MAJOR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2.3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§3 / §6.8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Risk Tolerance Change Mechanism Undefined</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Missing concept</w:t>
            </w:r>
          </w:p>
        </w:tc>
      </w:tr>
      <w:tr>
        <w:tc>
          <w:tcPr>
            <w:tcW w:type="dxa" w:w="1440"/>
            <w:tcBorders>
              <w:top w:val="none" w:color="FFFFFF" w:sz="0"/>
              <w:left w:val="none" w:color="FFFFFF" w:sz="0"/>
              <w:bottom w:val="none" w:color="FFFFFF" w:sz="0"/>
              <w:right w:val="none" w:color="FFFFFF" w:sz="0"/>
            </w:tcBorders>
            <w:shd w:fill="FFF3CD" w:val="clear"/>
            <w:tcMar>
              <w:top w:type="dxa" w:w="60"/>
              <w:left w:type="dxa" w:w="120"/>
              <w:bottom w:type="dxa" w:w="60"/>
              <w:right w:type="dxa" w:w="120"/>
            </w:tcMar>
            <w:vAlign w:val="center"/>
          </w:tcPr>
          <w:p>
            <w:pPr>
              <w:jc w:val="center"/>
            </w:pPr>
            <w:r>
              <w:rPr>
                <w:rFonts w:ascii="Arial" w:cs="Arial" w:eastAsia="Arial" w:hAnsi="Arial"/>
                <w:b/>
                <w:bCs/>
                <w:color w:val="C47D00"/>
                <w:sz w:val="18"/>
                <w:szCs w:val="18"/>
              </w:rPr>
              <w:t xml:space="preserve">MAJOR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2.4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§6.6 / §10.5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V1/Expansion Boundary — trafficking in V1 thresholds, union mechanics thin</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Scope inconsistency</w:t>
            </w:r>
          </w:p>
        </w:tc>
      </w:tr>
      <w:tr>
        <w:tc>
          <w:tcPr>
            <w:tcW w:type="dxa" w:w="1440"/>
            <w:tcBorders>
              <w:top w:val="none" w:color="FFFFFF" w:sz="0"/>
              <w:left w:val="none" w:color="FFFFFF" w:sz="0"/>
              <w:bottom w:val="none" w:color="FFFFFF" w:sz="0"/>
              <w:right w:val="none" w:color="FFFFFF" w:sz="0"/>
            </w:tcBorders>
            <w:shd w:fill="FFF3CD" w:val="clear"/>
            <w:tcMar>
              <w:top w:type="dxa" w:w="60"/>
              <w:left w:type="dxa" w:w="120"/>
              <w:bottom w:type="dxa" w:w="60"/>
              <w:right w:type="dxa" w:w="120"/>
            </w:tcMar>
            <w:vAlign w:val="center"/>
          </w:tcPr>
          <w:p>
            <w:pPr>
              <w:jc w:val="center"/>
            </w:pPr>
            <w:r>
              <w:rPr>
                <w:rFonts w:ascii="Arial" w:cs="Arial" w:eastAsia="Arial" w:hAnsi="Arial"/>
                <w:b/>
                <w:bCs/>
                <w:color w:val="C47D00"/>
                <w:sz w:val="18"/>
                <w:szCs w:val="18"/>
              </w:rPr>
              <w:t xml:space="preserve">MAJOR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2.5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§10.6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Prison Mechanics Underdeveloped — no operational modifiers</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Thin mechanics</w:t>
            </w:r>
          </w:p>
        </w:tc>
      </w:tr>
      <w:tr>
        <w:tc>
          <w:tcPr>
            <w:tcW w:type="dxa" w:w="1440"/>
            <w:tcBorders>
              <w:top w:val="none" w:color="FFFFFF" w:sz="0"/>
              <w:left w:val="none" w:color="FFFFFF" w:sz="0"/>
              <w:bottom w:val="none" w:color="FFFFFF" w:sz="0"/>
              <w:right w:val="none" w:color="FFFFFF" w:sz="0"/>
            </w:tcBorders>
            <w:shd w:fill="FFF3CD" w:val="clear"/>
            <w:tcMar>
              <w:top w:type="dxa" w:w="60"/>
              <w:left w:type="dxa" w:w="120"/>
              <w:bottom w:type="dxa" w:w="60"/>
              <w:right w:type="dxa" w:w="120"/>
            </w:tcMar>
            <w:vAlign w:val="center"/>
          </w:tcPr>
          <w:p>
            <w:pPr>
              <w:jc w:val="center"/>
            </w:pPr>
            <w:r>
              <w:rPr>
                <w:rFonts w:ascii="Arial" w:cs="Arial" w:eastAsia="Arial" w:hAnsi="Arial"/>
                <w:b/>
                <w:bCs/>
                <w:color w:val="C47D00"/>
                <w:sz w:val="18"/>
                <w:szCs w:val="18"/>
              </w:rPr>
              <w:t xml:space="preserve">MAJOR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2.6</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§12.12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Criminal Dominance Index — described but never defined</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Missing definition</w:t>
            </w:r>
          </w:p>
        </w:tc>
      </w:tr>
      <w:tr>
        <w:tc>
          <w:tcPr>
            <w:tcW w:type="dxa" w:w="1440"/>
            <w:tcBorders>
              <w:top w:val="none" w:color="FFFFFF" w:sz="0"/>
              <w:left w:val="none" w:color="FFFFFF" w:sz="0"/>
              <w:bottom w:val="none" w:color="FFFFFF" w:sz="0"/>
              <w:right w:val="none" w:color="FFFFFF" w:sz="0"/>
            </w:tcBorders>
            <w:shd w:fill="FFF3CD" w:val="clear"/>
            <w:tcMar>
              <w:top w:type="dxa" w:w="60"/>
              <w:left w:type="dxa" w:w="120"/>
              <w:bottom w:type="dxa" w:w="60"/>
              <w:right w:type="dxa" w:w="120"/>
            </w:tcMar>
            <w:vAlign w:val="center"/>
          </w:tcPr>
          <w:p>
            <w:pPr>
              <w:jc w:val="center"/>
            </w:pPr>
            <w:r>
              <w:rPr>
                <w:rFonts w:ascii="Arial" w:cs="Arial" w:eastAsia="Arial" w:hAnsi="Arial"/>
                <w:b/>
                <w:bCs/>
                <w:color w:val="C47D00"/>
                <w:sz w:val="18"/>
                <w:szCs w:val="18"/>
              </w:rPr>
              <w:t xml:space="preserve">MAJOR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2.7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§12.6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Burned Identity 'Dormant' State Undefined</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Ambiguity</w:t>
            </w:r>
          </w:p>
        </w:tc>
      </w:tr>
      <w:tr>
        <w:tc>
          <w:tcPr>
            <w:tcW w:type="dxa" w:w="1440"/>
            <w:tcBorders>
              <w:top w:val="none" w:color="FFFFFF" w:sz="0"/>
              <w:left w:val="none" w:color="FFFFFF" w:sz="0"/>
              <w:bottom w:val="none" w:color="FFFFFF" w:sz="0"/>
              <w:right w:val="none" w:color="FFFFFF" w:sz="0"/>
            </w:tcBorders>
            <w:shd w:fill="FFF3CD" w:val="clear"/>
            <w:tcMar>
              <w:top w:type="dxa" w:w="60"/>
              <w:left w:type="dxa" w:w="120"/>
              <w:bottom w:type="dxa" w:w="60"/>
              <w:right w:type="dxa" w:w="120"/>
            </w:tcMar>
            <w:vAlign w:val="center"/>
          </w:tcPr>
          <w:p>
            <w:pPr>
              <w:jc w:val="center"/>
            </w:pPr>
            <w:r>
              <w:rPr>
                <w:rFonts w:ascii="Arial" w:cs="Arial" w:eastAsia="Arial" w:hAnsi="Arial"/>
                <w:b/>
                <w:bCs/>
                <w:color w:val="C47D00"/>
                <w:sz w:val="18"/>
                <w:szCs w:val="18"/>
              </w:rPr>
              <w:t xml:space="preserve">MAJOR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2.8</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§16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Media Story Credibility/Newsworthiness Not Defined</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Missing definition</w:t>
            </w:r>
          </w:p>
        </w:tc>
      </w:tr>
      <w:tr>
        <w:tc>
          <w:tcPr>
            <w:tcW w:type="dxa" w:w="1440"/>
            <w:tcBorders>
              <w:top w:val="none" w:color="FFFFFF" w:sz="0"/>
              <w:left w:val="none" w:color="FFFFFF" w:sz="0"/>
              <w:bottom w:val="none" w:color="FFFFFF" w:sz="0"/>
              <w:right w:val="none" w:color="FFFFFF" w:sz="0"/>
            </w:tcBorders>
            <w:shd w:fill="FFF3CD" w:val="clear"/>
            <w:tcMar>
              <w:top w:type="dxa" w:w="60"/>
              <w:left w:type="dxa" w:w="120"/>
              <w:bottom w:type="dxa" w:w="60"/>
              <w:right w:type="dxa" w:w="120"/>
            </w:tcMar>
            <w:vAlign w:val="center"/>
          </w:tcPr>
          <w:p>
            <w:pPr>
              <w:jc w:val="center"/>
            </w:pPr>
            <w:r>
              <w:rPr>
                <w:rFonts w:ascii="Arial" w:cs="Arial" w:eastAsia="Arial" w:hAnsi="Arial"/>
                <w:b/>
                <w:bCs/>
                <w:color w:val="C47D00"/>
                <w:sz w:val="18"/>
                <w:szCs w:val="18"/>
              </w:rPr>
              <w:t xml:space="preserve">MAJOR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2.9</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§8.2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Price Adjustment Rate — 'configurable' but never specified</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Missing parameter</w:t>
            </w:r>
          </w:p>
        </w:tc>
      </w:tr>
      <w:tr>
        <w:tc>
          <w:tcPr>
            <w:tcW w:type="dxa" w:w="1440"/>
            <w:tcBorders>
              <w:top w:val="none" w:color="FFFFFF" w:sz="0"/>
              <w:left w:val="none" w:color="FFFFFF" w:sz="0"/>
              <w:bottom w:val="none" w:color="FFFFFF" w:sz="0"/>
              <w:right w:val="none" w:color="FFFFFF" w:sz="0"/>
            </w:tcBorders>
            <w:shd w:fill="FFF3CD" w:val="clear"/>
            <w:tcMar>
              <w:top w:type="dxa" w:w="60"/>
              <w:left w:type="dxa" w:w="120"/>
              <w:bottom w:type="dxa" w:w="60"/>
              <w:right w:type="dxa" w:w="120"/>
            </w:tcMar>
            <w:vAlign w:val="center"/>
          </w:tcPr>
          <w:p>
            <w:pPr>
              <w:jc w:val="center"/>
            </w:pPr>
            <w:r>
              <w:rPr>
                <w:rFonts w:ascii="Arial" w:cs="Arial" w:eastAsia="Arial" w:hAnsi="Arial"/>
                <w:b/>
                <w:bCs/>
                <w:color w:val="C47D00"/>
                <w:sz w:val="18"/>
                <w:szCs w:val="18"/>
              </w:rPr>
              <w:t xml:space="preserve">MAJOR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2.10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§15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Election Probability Model Not Specified</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Missing mechanic</w:t>
            </w:r>
          </w:p>
        </w:tc>
      </w:tr>
      <w:tr>
        <w:tc>
          <w:tcPr>
            <w:tcW w:type="dxa" w:w="1440"/>
            <w:tcBorders>
              <w:top w:val="none" w:color="FFFFFF" w:sz="0"/>
              <w:left w:val="none" w:color="FFFFFF" w:sz="0"/>
              <w:bottom w:val="none" w:color="FFFFFF" w:sz="0"/>
              <w:right w:val="none" w:color="FFFFFF" w:sz="0"/>
            </w:tcBorders>
            <w:shd w:fill="F4F6F8" w:val="clear"/>
            <w:tcMar>
              <w:top w:type="dxa" w:w="60"/>
              <w:left w:type="dxa" w:w="120"/>
              <w:bottom w:type="dxa" w:w="60"/>
              <w:right w:type="dxa" w:w="120"/>
            </w:tcMar>
            <w:vAlign w:val="center"/>
          </w:tcPr>
          <w:p>
            <w:pPr>
              <w:jc w:val="center"/>
            </w:pPr>
            <w:r>
              <w:rPr>
                <w:rFonts w:ascii="Arial" w:cs="Arial" w:eastAsia="Arial" w:hAnsi="Arial"/>
                <w:b/>
                <w:bCs/>
                <w:color w:val="555555"/>
                <w:sz w:val="18"/>
                <w:szCs w:val="18"/>
              </w:rPr>
              <w:t xml:space="preserve">MINOR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3.1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§23</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Companion Document Versions Stale (RnD v1.0, Commodities v2)</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Reference</w:t>
            </w:r>
          </w:p>
        </w:tc>
      </w:tr>
      <w:tr>
        <w:tc>
          <w:tcPr>
            <w:tcW w:type="dxa" w:w="1440"/>
            <w:tcBorders>
              <w:top w:val="none" w:color="FFFFFF" w:sz="0"/>
              <w:left w:val="none" w:color="FFFFFF" w:sz="0"/>
              <w:bottom w:val="none" w:color="FFFFFF" w:sz="0"/>
              <w:right w:val="none" w:color="FFFFFF" w:sz="0"/>
            </w:tcBorders>
            <w:shd w:fill="F4F6F8" w:val="clear"/>
            <w:tcMar>
              <w:top w:type="dxa" w:w="60"/>
              <w:left w:type="dxa" w:w="120"/>
              <w:bottom w:type="dxa" w:w="60"/>
              <w:right w:type="dxa" w:w="120"/>
            </w:tcMar>
            <w:vAlign w:val="center"/>
          </w:tcPr>
          <w:p>
            <w:pPr>
              <w:jc w:val="center"/>
            </w:pPr>
            <w:r>
              <w:rPr>
                <w:rFonts w:ascii="Arial" w:cs="Arial" w:eastAsia="Arial" w:hAnsi="Arial"/>
                <w:b/>
                <w:bCs/>
                <w:color w:val="555555"/>
                <w:sz w:val="18"/>
                <w:szCs w:val="18"/>
              </w:rPr>
              <w:t xml:space="preserve">MINOR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3.2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§1 / §21 step 26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Device Notifications Contradict 'Information Is Earned' Pillar</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Philosophy tension</w:t>
            </w:r>
          </w:p>
        </w:tc>
      </w:tr>
      <w:tr>
        <w:tc>
          <w:tcPr>
            <w:tcW w:type="dxa" w:w="1440"/>
            <w:tcBorders>
              <w:top w:val="none" w:color="FFFFFF" w:sz="0"/>
              <w:left w:val="none" w:color="FFFFFF" w:sz="0"/>
              <w:bottom w:val="none" w:color="FFFFFF" w:sz="0"/>
              <w:right w:val="none" w:color="FFFFFF" w:sz="0"/>
            </w:tcBorders>
            <w:shd w:fill="F4F6F8" w:val="clear"/>
            <w:tcMar>
              <w:top w:type="dxa" w:w="60"/>
              <w:left w:type="dxa" w:w="120"/>
              <w:bottom w:type="dxa" w:w="60"/>
              <w:right w:type="dxa" w:w="120"/>
            </w:tcMar>
            <w:vAlign w:val="center"/>
          </w:tcPr>
          <w:p>
            <w:pPr>
              <w:jc w:val="center"/>
            </w:pPr>
            <w:r>
              <w:rPr>
                <w:rFonts w:ascii="Arial" w:cs="Arial" w:eastAsia="Arial" w:hAnsi="Arial"/>
                <w:b/>
                <w:bCs/>
                <w:color w:val="555555"/>
                <w:sz w:val="18"/>
                <w:szCs w:val="18"/>
              </w:rPr>
              <w:t xml:space="preserve">MINOR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3.3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§24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Scenario Coverage Gaps — major systems lack test scenarios</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Coverage</w:t>
            </w:r>
          </w:p>
        </w:tc>
      </w:tr>
      <w:tr>
        <w:tc>
          <w:tcPr>
            <w:tcW w:type="dxa" w:w="1440"/>
            <w:tcBorders>
              <w:top w:val="none" w:color="FFFFFF" w:sz="0"/>
              <w:left w:val="none" w:color="FFFFFF" w:sz="0"/>
              <w:bottom w:val="none" w:color="FFFFFF" w:sz="0"/>
              <w:right w:val="none" w:color="FFFFFF" w:sz="0"/>
            </w:tcBorders>
            <w:shd w:fill="F4F6F8" w:val="clear"/>
            <w:tcMar>
              <w:top w:type="dxa" w:w="60"/>
              <w:left w:type="dxa" w:w="120"/>
              <w:bottom w:type="dxa" w:w="60"/>
              <w:right w:type="dxa" w:w="120"/>
            </w:tcMar>
            <w:vAlign w:val="center"/>
          </w:tcPr>
          <w:p>
            <w:pPr>
              <w:jc w:val="center"/>
            </w:pPr>
            <w:r>
              <w:rPr>
                <w:rFonts w:ascii="Arial" w:cs="Arial" w:eastAsia="Arial" w:hAnsi="Arial"/>
                <w:b/>
                <w:bCs/>
                <w:color w:val="555555"/>
                <w:sz w:val="18"/>
                <w:szCs w:val="18"/>
              </w:rPr>
              <w:t xml:space="preserve">MINOR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3.4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§21 / TDD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Tick Step Count: GDD has 27 steps, TDD modules have 28+</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Reference</w:t>
            </w:r>
          </w:p>
        </w:tc>
      </w:tr>
      <w:tr>
        <w:tc>
          <w:tcPr>
            <w:tcW w:type="dxa" w:w="1440"/>
            <w:tcBorders>
              <w:top w:val="none" w:color="FFFFFF" w:sz="0"/>
              <w:left w:val="none" w:color="FFFFFF" w:sz="0"/>
              <w:bottom w:val="none" w:color="FFFFFF" w:sz="0"/>
              <w:right w:val="none" w:color="FFFFFF" w:sz="0"/>
            </w:tcBorders>
            <w:shd w:fill="F4F6F8" w:val="clear"/>
            <w:tcMar>
              <w:top w:type="dxa" w:w="60"/>
              <w:left w:type="dxa" w:w="120"/>
              <w:bottom w:type="dxa" w:w="60"/>
              <w:right w:type="dxa" w:w="120"/>
            </w:tcMar>
            <w:vAlign w:val="center"/>
          </w:tcPr>
          <w:p>
            <w:pPr>
              <w:jc w:val="center"/>
            </w:pPr>
            <w:r>
              <w:rPr>
                <w:rFonts w:ascii="Arial" w:cs="Arial" w:eastAsia="Arial" w:hAnsi="Arial"/>
                <w:b/>
                <w:bCs/>
                <w:color w:val="555555"/>
                <w:sz w:val="18"/>
                <w:szCs w:val="18"/>
              </w:rPr>
              <w:t xml:space="preserve">MINOR</w:t>
            </w:r>
          </w:p>
        </w:tc>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Courier New" w:cs="Courier New" w:eastAsia="Courier New" w:hAnsi="Courier New"/>
                <w:b/>
                <w:bCs/>
                <w:color w:val="2E5F8A"/>
                <w:sz w:val="18"/>
                <w:szCs w:val="18"/>
              </w:rPr>
              <w:t xml:space="preserve">3.5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666666"/>
                <w:sz w:val="18"/>
                <w:szCs w:val="18"/>
              </w:rPr>
              <w:t xml:space="preserve">§23</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Scope Reality Check for One-Person + AI Development</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Scope</w:t>
            </w:r>
          </w:p>
        </w:tc>
      </w:tr>
    </w:tbl>
    <w:p>
      <w:pPr>
        <w:spacing w:after="120" w:before="0"/>
      </w:pPr>
      <w:r>
        <w:t xml:space="preserve"/>
      </w:r>
    </w:p>
    <w:p>
      <w:r>
        <w:br w:type="page"/>
      </w:r>
    </w:p>
    <w:p>
      <w:pPr>
        <w:pStyle w:val="Heading2"/>
        <w:spacing w:after="100" w:before="300"/>
      </w:pPr>
      <w:r>
        <w:rPr>
          <w:rFonts w:ascii="Arial" w:cs="Arial" w:eastAsia="Arial" w:hAnsi="Arial"/>
          <w:b/>
          <w:bCs/>
          <w:color w:val="2E5F8A"/>
          <w:sz w:val="28"/>
          <w:szCs w:val="28"/>
        </w:rPr>
        <w:t xml:space="preserve">Category 1 — Critical Findings</w:t>
      </w:r>
    </w:p>
    <w:p>
      <w:pPr>
        <w:spacing w:after="120" w:before="60"/>
      </w:pPr>
      <w:r>
        <w:rPr>
          <w:rFonts w:ascii="Arial" w:cs="Arial" w:eastAsia="Arial" w:hAnsi="Arial"/>
          <w:sz w:val="22"/>
          <w:szCs w:val="22"/>
        </w:rPr>
        <w:t xml:space="preserve">These findings block implementation or create ambiguities equivalent to a BLOCKER-class TDD issue.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DECEA"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1.1</w:t>
            </w:r>
          </w:p>
          <w:p>
            <w:pPr>
              <w:jc w:val="center"/>
            </w:pPr>
            <w:r>
              <w:rPr>
                <w:rFonts w:ascii="Arial" w:cs="Arial" w:eastAsia="Arial" w:hAnsi="Arial"/>
                <w:b/>
                <w:bCs/>
                <w:color w:val="C0392B"/>
                <w:sz w:val="16"/>
                <w:szCs w:val="16"/>
              </w:rPr>
              <w:t xml:space="preserve">CRITICAL</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Satisfaction Model: Derived vs. Cached  </w:t>
            </w:r>
            <w:r>
              <w:rPr>
                <w:rFonts w:ascii="Arial" w:cs="Arial" w:eastAsia="Arial" w:hAnsi="Arial"/>
                <w:i/>
                <w:iCs/>
                <w:color w:val="555555"/>
                <w:sz w:val="18"/>
                <w:szCs w:val="18"/>
              </w:rPr>
              <w:t xml:space="preserve">§6.8, §3, §21, Scenario Index</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§6.8 states satisfaction is 'derived each tick from the NPC's memory entries about their employment situation' — implying it is not stored as a field. But the Scenario Index (tags #13, #22) tests for explicit thresholds like satisfaction &lt; 0.35, implying satisfaction IS a trackable float that persists between ticks. These two descriptions are mutually exclusive. A derived-on-the-fly model has major performance implications at 500–1000 Significant NPCs, while a cached float requires defining when and how it is written.</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Scenario test stubs cannot be implemented without knowing whether satisfaction is derived or stored. The Bootstrapper will generate a test that checks a field that may not exist, or miss the derivation cost entirely.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DECEA"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1.2</w:t>
            </w:r>
          </w:p>
          <w:p>
            <w:pPr>
              <w:jc w:val="center"/>
            </w:pPr>
            <w:r>
              <w:rPr>
                <w:rFonts w:ascii="Arial" w:cs="Arial" w:eastAsia="Arial" w:hAnsi="Arial"/>
                <w:b/>
                <w:bCs/>
                <w:color w:val="C0392B"/>
                <w:sz w:val="16"/>
                <w:szCs w:val="16"/>
              </w:rPr>
              <w:t xml:space="preserve">CRITICAL</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Obligation Escalation Mechanics Undefined  </w:t>
            </w:r>
            <w:r>
              <w:rPr>
                <w:rFonts w:ascii="Arial" w:cs="Arial" w:eastAsia="Arial" w:hAnsi="Arial"/>
                <w:i/>
                <w:iCs/>
                <w:color w:val="555555"/>
                <w:sz w:val="18"/>
                <w:szCs w:val="18"/>
              </w:rPr>
              <w:t xml:space="preserve">§10.4</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The Obligation Network section describes how obligations start small and ratchet unpredictably into serious demands — this is explicitly called out as a core late-game challenge in §1. But the mechanics governing when and how escalation occurs are not specified anywhere in the GDD. What triggers the second ask after the first favor? Time? NPC motivation score? Player compliance rate? Does compliance to the first request signal capacity for higher asks? The GDD gives compelling flavor ('A politician accepts a campaign contribution, then asks for a hire...') but zero implementation signal.</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Obligations are one of the three core challenge types for the late game. Without escalation mechanics, the system is unimplementable and untestable. This is a BLOCKER for any obligation module work.</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DECEA"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1.3</w:t>
            </w:r>
          </w:p>
          <w:p>
            <w:pPr>
              <w:jc w:val="center"/>
            </w:pPr>
            <w:r>
              <w:rPr>
                <w:rFonts w:ascii="Arial" w:cs="Arial" w:eastAsia="Arial" w:hAnsi="Arial"/>
                <w:b/>
                <w:bCs/>
                <w:color w:val="C0392B"/>
                <w:sz w:val="16"/>
                <w:szCs w:val="16"/>
              </w:rPr>
              <w:t xml:space="preserve">CRITICAL</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Community Response vs. Opposition Formation — Relationship Undefined  </w:t>
            </w:r>
            <w:r>
              <w:rPr>
                <w:rFonts w:ascii="Arial" w:cs="Arial" w:eastAsia="Arial" w:hAnsi="Arial"/>
                <w:i/>
                <w:iCs/>
                <w:color w:val="555555"/>
                <w:sz w:val="18"/>
                <w:szCs w:val="18"/>
              </w:rPr>
              <w:t xml:space="preserve">§14.2, §14.4</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§14.2 describes a seven-stage community escalation ladder (informal complaint → sustained opposition). §14.4 describes opposition formation as requiring three convergent conditions: grievance + leadership + resources. The relationship between these two systems is never stated. Does opposition form only at stage 7? Can it form at any stage when all three conditions align (stage 3 + a strong leader + funding = opposition)? Scenario tag #16 asserts 'opposition forms on convergence' without specifying which stage triggers formation.</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A developer implementing the opposition formation module cannot determine when to fire the formation event without this relationship being explicit. The convergence check and the stage ladder may be duplicate or parallel systems — the GDD leaves this unresolved.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DECEA"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1.4</w:t>
            </w:r>
          </w:p>
          <w:p>
            <w:pPr>
              <w:jc w:val="center"/>
            </w:pPr>
            <w:r>
              <w:rPr>
                <w:rFonts w:ascii="Arial" w:cs="Arial" w:eastAsia="Arial" w:hAnsi="Arial"/>
                <w:b/>
                <w:bCs/>
                <w:color w:val="C0392B"/>
                <w:sz w:val="16"/>
                <w:szCs w:val="16"/>
              </w:rPr>
              <w:t xml:space="preserve">CRITICAL</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Criminal Entry Conditions — Street Reputation Scale Inconsistent  </w:t>
            </w:r>
            <w:r>
              <w:rPr>
                <w:rFonts w:ascii="Arial" w:cs="Arial" w:eastAsia="Arial" w:hAnsi="Arial"/>
                <w:i/>
                <w:iCs/>
                <w:color w:val="555555"/>
                <w:sz w:val="18"/>
                <w:szCs w:val="18"/>
              </w:rPr>
              <w:t xml:space="preserve">§12.1, §11</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§12.1 presents entry condition thresholds as street_reputation &gt; 20, 35, 40, and 45, and notes these are displayed as a '0–100 index'. But §11 ('People in the Grey') describes street reputation without defining its range. The NPC Core Attributes in §3 lists 'Reputation Score' without specifying a range either. A float 0.0–1.0 is a natural implementation choice, but the entry condition thresholds (20, 35, 45) are clearly treating it as an integer 0–100. The inconsistency suggests the representation changed between document passes without full synchronization.</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Implementation cannot store street_reputation without knowing its range and type. The Bootstrapper will generate conflicting struct definitions if this is not resolved.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DECEA"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1.5</w:t>
            </w:r>
          </w:p>
          <w:p>
            <w:pPr>
              <w:jc w:val="center"/>
            </w:pPr>
            <w:r>
              <w:rPr>
                <w:rFonts w:ascii="Arial" w:cs="Arial" w:eastAsia="Arial" w:hAnsi="Arial"/>
                <w:b/>
                <w:bCs/>
                <w:color w:val="C0392B"/>
                <w:sz w:val="16"/>
                <w:szCs w:val="16"/>
              </w:rPr>
              <w:t xml:space="preserve">CRITICAL</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Influence Decay: GDD Tick-Wise vs. TDD Deferred Queue  </w:t>
            </w:r>
            <w:r>
              <w:rPr>
                <w:rFonts w:ascii="Arial" w:cs="Arial" w:eastAsia="Arial" w:hAnsi="Arial"/>
                <w:i/>
                <w:iCs/>
                <w:color w:val="555555"/>
                <w:sz w:val="18"/>
                <w:szCs w:val="18"/>
              </w:rPr>
              <w:t xml:space="preserve">§21 Step 22, TDD §3</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GDD §21 step 22 states: 'Update Influence network weights — trust, obligation, and fear relationships decay or strengthen based on recent interactions.' This implies all three decay types run every tick. However, the TDD §3 explicitly states: 'Fear decay removed from tick step 22 module. Moved to DeferredWorkQueue npc_relationship_decay batch (every 30 ticks per NPC).' The GDD does not reflect this architectural change. A developer reading only the GDD will implement all three decay operations every tick — 30x the intended computational cost.</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Step 22 performance budgeting and the DeferredWorkQueue design both depend on this being resolved. The GDD must be brought into sync with the TDD's architectural decision or the discrepancy will cause mis-implementation.</w:t>
            </w:r>
          </w:p>
        </w:tc>
      </w:tr>
    </w:tbl>
    <w:p>
      <w:pPr>
        <w:spacing w:after="60" w:before="0"/>
      </w:pPr>
      <w:r>
        <w:t xml:space="preserve"/>
      </w:r>
    </w:p>
    <w:p>
      <w:r>
        <w:br w:type="page"/>
      </w:r>
    </w:p>
    <w:p>
      <w:pPr>
        <w:pStyle w:val="Heading2"/>
        <w:spacing w:after="100" w:before="300"/>
      </w:pPr>
      <w:r>
        <w:rPr>
          <w:rFonts w:ascii="Arial" w:cs="Arial" w:eastAsia="Arial" w:hAnsi="Arial"/>
          <w:b/>
          <w:bCs/>
          <w:color w:val="2E5F8A"/>
          <w:sz w:val="28"/>
          <w:szCs w:val="28"/>
        </w:rPr>
        <w:t xml:space="preserve">Category 2 — Major Findings</w:t>
      </w:r>
    </w:p>
    <w:p>
      <w:pPr>
        <w:spacing w:after="120" w:before="60"/>
      </w:pPr>
      <w:r>
        <w:rPr>
          <w:rFonts w:ascii="Arial" w:cs="Arial" w:eastAsia="Arial" w:hAnsi="Arial"/>
          <w:sz w:val="22"/>
          <w:szCs w:val="22"/>
        </w:rPr>
        <w:t xml:space="preserve">These findings represent significant gaps that will cause incorrect implementation or leave core systems mechanically undefined.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FF3CD"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2.1</w:t>
            </w:r>
          </w:p>
          <w:p>
            <w:pPr>
              <w:jc w:val="center"/>
            </w:pPr>
            <w:r>
              <w:rPr>
                <w:rFonts w:ascii="Arial" w:cs="Arial" w:eastAsia="Arial" w:hAnsi="Arial"/>
                <w:b/>
                <w:bCs/>
                <w:color w:val="C47D00"/>
                <w:sz w:val="16"/>
                <w:szCs w:val="16"/>
              </w:rPr>
              <w:t xml:space="preserve">MAJOR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Evidence Token Lifecycle — No Aging or Expiration Mechanic  </w:t>
            </w:r>
            <w:r>
              <w:rPr>
                <w:rFonts w:ascii="Arial" w:cs="Arial" w:eastAsia="Arial" w:hAnsi="Arial"/>
                <w:i/>
                <w:iCs/>
                <w:color w:val="555555"/>
                <w:sz w:val="18"/>
                <w:szCs w:val="18"/>
              </w:rPr>
              <w:t xml:space="preserve">§10.2</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§10.2 describes evidence tokens as persisting until 'actively neutralized' through five paths (buy, destroy, discredit, bury, leverage). There is no mechanic for natural aging, expiration, or statute of limitations. Evidence from twenty years ago is treated identically to evidence from last week. Real investigative and legal systems have evidence degradation, witness memory decay, and statutes of limitations — all of which create strategic 'run out the clock' gameplay options. Without any aging mechanic, the player is buried under permanently accumulating evidence with no mechanical relief path other than active neutralization.</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This creates an asymmetric late game: a high-power player who has been active for many in-game years faces a catastrophically large evidence file with no natural decay. Whether permanence is intentional design or an oversight is not stated. If intentional, it needs to be explicitly justified.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FF3CD"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2.2</w:t>
            </w:r>
          </w:p>
          <w:p>
            <w:pPr>
              <w:jc w:val="center"/>
            </w:pPr>
            <w:r>
              <w:rPr>
                <w:rFonts w:ascii="Arial" w:cs="Arial" w:eastAsia="Arial" w:hAnsi="Arial"/>
                <w:b/>
                <w:bCs/>
                <w:color w:val="C47D00"/>
                <w:sz w:val="16"/>
                <w:szCs w:val="16"/>
              </w:rPr>
              <w:t xml:space="preserve">MAJOR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Informant Mechanic — Loyalty and Mutual Incrimination Undefined  </w:t>
            </w:r>
            <w:r>
              <w:rPr>
                <w:rFonts w:ascii="Arial" w:cs="Arial" w:eastAsia="Arial" w:hAnsi="Arial"/>
                <w:i/>
                <w:iCs/>
                <w:color w:val="555555"/>
                <w:sz w:val="18"/>
                <w:szCs w:val="18"/>
              </w:rPr>
              <w:t xml:space="preserve">§12.2</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§12.2 describes informant risk as a core challenge of the criminal economy and mentions three counter-strategies: loyalty payments, mutual incrimination, and compartmentalization. But none of these are mechanically defined. What is 'loyalty' in NPC terms — the relationship_score, an obligation, a separate field? Does 'mutual incrimination' mean the player creates evidence tokens tying the NPC to crimes, making them equally liable? Does 'compartmentalization' mean operatives literally don't have memory entries about other operatives' identities? Without mechanics, the player cannot strategically manage informant risk.</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Informant risk is described as the defining operational challenge of running a criminal organization at scale. If it cannot be managed through concrete mechanics, it reduces to a random event, which violates the 'systems over content' design pillar.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FF3CD"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2.3</w:t>
            </w:r>
          </w:p>
          <w:p>
            <w:pPr>
              <w:jc w:val="center"/>
            </w:pPr>
            <w:r>
              <w:rPr>
                <w:rFonts w:ascii="Arial" w:cs="Arial" w:eastAsia="Arial" w:hAnsi="Arial"/>
                <w:b/>
                <w:bCs/>
                <w:color w:val="C47D00"/>
                <w:sz w:val="16"/>
                <w:szCs w:val="16"/>
              </w:rPr>
              <w:t xml:space="preserve">MAJOR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Risk Tolerance Change Mechanism Undefined  </w:t>
            </w:r>
            <w:r>
              <w:rPr>
                <w:rFonts w:ascii="Arial" w:cs="Arial" w:eastAsia="Arial" w:hAnsi="Arial"/>
                <w:i/>
                <w:iCs/>
                <w:color w:val="555555"/>
                <w:sz w:val="18"/>
                <w:szCs w:val="18"/>
              </w:rPr>
              <w:t xml:space="preserve">§3, §6.8, §10.3</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Risk tolerance is listed as a core NPC attribute and is central to whistleblower eligibility (§6.8: risk_tolerance &gt; 0.4), investigator decisions (§10.3), criminal cooperation (§12.1), and witness cooperation (Scenario #9: 'witness whose circumstances changed'). But the GDD never specifies what changes risk tolerance. Age? Desperation? Being threatened? Receiving a safe harbor offer? Witnessing severe crimes? Risk tolerance appears as a field that is initialized (presumably randomly or from a personality archetype) but whose evolution is never defined.</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Risk tolerance is queried constantly across the simulation but is only written during NPC initialization. A static risk tolerance means NPCs can never shift from fearful-witness to cooperative-witness based on circumstances, which breaks the core behavior generation philosophy in §3.</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FF3CD"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2.4</w:t>
            </w:r>
          </w:p>
          <w:p>
            <w:pPr>
              <w:jc w:val="center"/>
            </w:pPr>
            <w:r>
              <w:rPr>
                <w:rFonts w:ascii="Arial" w:cs="Arial" w:eastAsia="Arial" w:hAnsi="Arial"/>
                <w:b/>
                <w:bCs/>
                <w:color w:val="C47D00"/>
                <w:sz w:val="16"/>
                <w:szCs w:val="16"/>
              </w:rPr>
              <w:t xml:space="preserve">MAJOR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V1 / Expansion Boundary — Conflicting Signals  </w:t>
            </w:r>
            <w:r>
              <w:rPr>
                <w:rFonts w:ascii="Arial" w:cs="Arial" w:eastAsia="Arial" w:hAnsi="Arial"/>
                <w:i/>
                <w:iCs/>
                <w:color w:val="555555"/>
                <w:sz w:val="18"/>
                <w:szCs w:val="18"/>
              </w:rPr>
              <w:t xml:space="preserve">§6.6, §12.3, §10.5</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Three boundary conflicts exist: (1) §6.6 marks union mechanics as '[Expansion scope — mechanics are thin in V1]' but Scenario #7 (V1 scope) tests that 'existing union organizer NPCs add the player's workforce as their highest-priority target' — implying union organizer NPCs with targeting logic ARE in V1. What exactly is 'thin'? (2) §12.3 marks human trafficking as Expansion and instructs the Bootstrapper to skip it, but §10.5 (V1 scope) lists 'operating a trafficking network' as a V1 consequence threshold trigger. (3) §14.5 marks personal security as Expansion, but the V1 late-game power positions in §18 imply serious physical threats that would have no interactive mechanics.</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V1 developers will build conflicting scope assumptions. Each of these three cases needs an explicit resolution: either bring the out-of-scope reference into V1 or remove the V1-scope reference to the out-of-scope system.</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FF3CD"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2.5</w:t>
            </w:r>
          </w:p>
          <w:p>
            <w:pPr>
              <w:jc w:val="center"/>
            </w:pPr>
            <w:r>
              <w:rPr>
                <w:rFonts w:ascii="Arial" w:cs="Arial" w:eastAsia="Arial" w:hAnsi="Arial"/>
                <w:b/>
                <w:bCs/>
                <w:color w:val="C47D00"/>
                <w:sz w:val="16"/>
                <w:szCs w:val="16"/>
              </w:rPr>
              <w:t xml:space="preserve">MAJOR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Prison Mechanics — Operational Modifiers Not Specified  </w:t>
            </w:r>
            <w:r>
              <w:rPr>
                <w:rFonts w:ascii="Arial" w:cs="Arial" w:eastAsia="Arial" w:hAnsi="Arial"/>
                <w:i/>
                <w:iCs/>
                <w:color w:val="555555"/>
                <w:sz w:val="18"/>
                <w:szCs w:val="18"/>
              </w:rPr>
              <w:t xml:space="preserve">§10.6</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§10.6 describes prison as a 'heavily constrained operational state' where external operations continue under NPC management. But the GDD specifies no mechanical constraints: no throughput modifier for delegated operations, no clarification of whether orders can be issued from prison or only standing instructions executed, no definition of how obligations accumulate during imprisonment, no probability model for prison death risk, and no mechanics for prison escape beyond 'requires external contacts and planning.'</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Prison is a central high-stakes consequence state. Without operational modifiers, it is effectively identical to having a slow manager — not a meaningfully different state. The consequence loses its weight if it has no mechanical teeth.</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FF3CD"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2.6</w:t>
            </w:r>
          </w:p>
          <w:p>
            <w:pPr>
              <w:jc w:val="center"/>
            </w:pPr>
            <w:r>
              <w:rPr>
                <w:rFonts w:ascii="Arial" w:cs="Arial" w:eastAsia="Arial" w:hAnsi="Arial"/>
                <w:b/>
                <w:bCs/>
                <w:color w:val="C47D00"/>
                <w:sz w:val="16"/>
                <w:szCs w:val="16"/>
              </w:rPr>
              <w:t xml:space="preserve">MAJOR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Criminal Dominance Index — Described but Never Defined  </w:t>
            </w:r>
            <w:r>
              <w:rPr>
                <w:rFonts w:ascii="Arial" w:cs="Arial" w:eastAsia="Arial" w:hAnsi="Arial"/>
                <w:i/>
                <w:iCs/>
                <w:color w:val="555555"/>
                <w:sz w:val="18"/>
                <w:szCs w:val="18"/>
              </w:rPr>
              <w:t xml:space="preserve">§12.12</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§12.12 describes criminal dominance degrading property values, legitimate business costs, public services, education, health, and social trust. Scenario #17 tests that 'Region.avg_property_value has decreased,' which implies a criminal_dominance_index regional property exists and feeds into other systems. But the GDD never defines this index — its range, how it is calculated, how it feeds into property values or NPC business decisions, or what tick step updates it.</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Criminal dominance is described as the most severe regional consequence state. If the index is never defined, the Bootstrapper cannot generate its struct field, and the module that reads it cannot be implemented.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FF3CD"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2.7</w:t>
            </w:r>
          </w:p>
          <w:p>
            <w:pPr>
              <w:jc w:val="center"/>
            </w:pPr>
            <w:r>
              <w:rPr>
                <w:rFonts w:ascii="Arial" w:cs="Arial" w:eastAsia="Arial" w:hAnsi="Arial"/>
                <w:b/>
                <w:bCs/>
                <w:color w:val="C47D00"/>
                <w:sz w:val="16"/>
                <w:szCs w:val="16"/>
              </w:rPr>
              <w:t xml:space="preserve">MAJOR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Burned Identity 'Dormant' State Mechanically Ambiguous  </w:t>
            </w:r>
            <w:r>
              <w:rPr>
                <w:rFonts w:ascii="Arial" w:cs="Arial" w:eastAsia="Arial" w:hAnsi="Arial"/>
                <w:i/>
                <w:iCs/>
                <w:color w:val="555555"/>
                <w:sz w:val="18"/>
                <w:szCs w:val="18"/>
              </w:rPr>
              <w:t xml:space="preserve">§12.6</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§12.6 states that when an alternative identity is burned, 'the evidence record enters a dormant state — the tokens exist but are only actionable if someone connects the burned identity to the real player.' The mechanics of 'dormant' are undefined: are dormant evidence tokens invisible to investigators? If so, burning an identity provides complete amnesia for that identity's history. If investigators can still see them (just can't currently act on them), burning an identity provides partial protection that could be overcome. These are radically different gameplay outcomes.</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Alternative identity strategy is a core criminal management mechanic. A player cannot plan identity management without knowing what dormant actually protects. This is an implementation-blocking ambiguity.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FF3CD"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2.8</w:t>
            </w:r>
          </w:p>
          <w:p>
            <w:pPr>
              <w:jc w:val="center"/>
            </w:pPr>
            <w:r>
              <w:rPr>
                <w:rFonts w:ascii="Arial" w:cs="Arial" w:eastAsia="Arial" w:hAnsi="Arial"/>
                <w:b/>
                <w:bCs/>
                <w:color w:val="C47D00"/>
                <w:sz w:val="16"/>
                <w:szCs w:val="16"/>
              </w:rPr>
              <w:t xml:space="preserve">MAJOR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Media System — Story Credibility Assessment Undefined  </w:t>
            </w:r>
            <w:r>
              <w:rPr>
                <w:rFonts w:ascii="Arial" w:cs="Arial" w:eastAsia="Arial" w:hAnsi="Arial"/>
                <w:i/>
                <w:iCs/>
                <w:color w:val="555555"/>
                <w:sz w:val="18"/>
                <w:szCs w:val="18"/>
              </w:rPr>
              <w:t xml:space="preserve">§16</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§16 describes journalists deciding to publish based on 'credibility and newsworthiness' and notes that 'feeding a journalist false information creates risk — if the false story is disproven, the journalist's reputation is damaged.' But credibility is never defined as a mechanic. What makes information credible in NPC terms — a specific number of corroborating evidence tokens? A witness with high_reliability? Absence of counter-evidence? And how is disproof determined — another NPC presenting contradictory evidence, or the story failing to match observable world state?</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The media system is the primary mechanism by which private evidence becomes public exposure. Without a credibility mechanic, journalists either publish everything or nothing, both of which break the exposure system.</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FF3CD"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2.9</w:t>
            </w:r>
          </w:p>
          <w:p>
            <w:pPr>
              <w:jc w:val="center"/>
            </w:pPr>
            <w:r>
              <w:rPr>
                <w:rFonts w:ascii="Arial" w:cs="Arial" w:eastAsia="Arial" w:hAnsi="Arial"/>
                <w:b/>
                <w:bCs/>
                <w:color w:val="C47D00"/>
                <w:sz w:val="16"/>
                <w:szCs w:val="16"/>
              </w:rPr>
              <w:t xml:space="preserve">MAJOR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Price Adjustment Rate — 'Configurable' but Never Specified  </w:t>
            </w:r>
            <w:r>
              <w:rPr>
                <w:rFonts w:ascii="Arial" w:cs="Arial" w:eastAsia="Arial" w:hAnsi="Arial"/>
                <w:i/>
                <w:iCs/>
                <w:color w:val="555555"/>
                <w:sz w:val="18"/>
                <w:szCs w:val="18"/>
              </w:rPr>
              <w:t xml:space="preserve">§8.2</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§8.2 states: 'Each traded good has a regional spot price that adjusts each tick toward a calculated equilibrium at a configurable adjustment rate.' No rates are specified, no examples are given, and the GDD does not clarify whether rates differ by good category (commodities vs. luxury goods), whether they are world-generation parameters, or whether the player can influence them. Price adjustment speed determines arbitrage window duration — one of the core skill-expression mechanics for the economic player.</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This is a critical economic tuning parameter that needs at least a documented default range and the factors that vary it. Without this, every goods market adjusts at the same rate, flattening the strategic diversity the economy is supposed to provide.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FF3CD"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2.10</w:t>
            </w:r>
          </w:p>
          <w:p>
            <w:pPr>
              <w:jc w:val="center"/>
            </w:pPr>
            <w:r>
              <w:rPr>
                <w:rFonts w:ascii="Arial" w:cs="Arial" w:eastAsia="Arial" w:hAnsi="Arial"/>
                <w:b/>
                <w:bCs/>
                <w:color w:val="C47D00"/>
                <w:sz w:val="16"/>
                <w:szCs w:val="16"/>
              </w:rPr>
              <w:t xml:space="preserve">MAJOR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Election Probability Model Not Specified  </w:t>
            </w:r>
            <w:r>
              <w:rPr>
                <w:rFonts w:ascii="Arial" w:cs="Arial" w:eastAsia="Arial" w:hAnsi="Arial"/>
                <w:i/>
                <w:iCs/>
                <w:color w:val="555555"/>
                <w:sz w:val="18"/>
                <w:szCs w:val="18"/>
              </w:rPr>
              <w:t xml:space="preserve">§15</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§15 describes elections resolving 'probabilistically based on coalition strength, campaign resource deployment, and random variance from events during the campaign.' No formula or probability model is specified. What is the base win probability at 60% coalition strength vs. 40%? What is the ceiling/floor? How much variance can campaign events add — ±5% or ±25%? A player investing in a political career needs to understand the probability mechanics to make strategic resource allocation decisions.</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Without a defined probability model, election outcomes are opaque and feel random regardless of player investment. This undermines the political career path as a strategic option.</w:t>
            </w:r>
          </w:p>
        </w:tc>
      </w:tr>
    </w:tbl>
    <w:p>
      <w:pPr>
        <w:spacing w:after="60" w:before="0"/>
      </w:pPr>
      <w:r>
        <w:t xml:space="preserve"/>
      </w:r>
    </w:p>
    <w:p>
      <w:r>
        <w:br w:type="page"/>
      </w:r>
    </w:p>
    <w:p>
      <w:pPr>
        <w:pStyle w:val="Heading2"/>
        <w:spacing w:after="100" w:before="300"/>
      </w:pPr>
      <w:r>
        <w:rPr>
          <w:rFonts w:ascii="Arial" w:cs="Arial" w:eastAsia="Arial" w:hAnsi="Arial"/>
          <w:b/>
          <w:bCs/>
          <w:color w:val="2E5F8A"/>
          <w:sz w:val="28"/>
          <w:szCs w:val="28"/>
        </w:rPr>
        <w:t xml:space="preserve">Category 3 — Minor Findings</w:t>
      </w:r>
    </w:p>
    <w:p>
      <w:pPr>
        <w:spacing w:after="120" w:before="60"/>
      </w:pPr>
      <w:r>
        <w:rPr>
          <w:rFonts w:ascii="Arial" w:cs="Arial" w:eastAsia="Arial" w:hAnsi="Arial"/>
          <w:sz w:val="22"/>
          <w:szCs w:val="22"/>
        </w:rPr>
        <w:t xml:space="preserve">Documentation clarity issues, stale references, and low-impact discrepancies.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4F6F8"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3.1</w:t>
            </w:r>
          </w:p>
          <w:p>
            <w:pPr>
              <w:jc w:val="center"/>
            </w:pPr>
            <w:r>
              <w:rPr>
                <w:rFonts w:ascii="Arial" w:cs="Arial" w:eastAsia="Arial" w:hAnsi="Arial"/>
                <w:b/>
                <w:bCs/>
                <w:color w:val="555555"/>
                <w:sz w:val="16"/>
                <w:szCs w:val="16"/>
              </w:rPr>
              <w:t xml:space="preserve">MINOR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Companion Document Version References Are Stale  </w:t>
            </w:r>
            <w:r>
              <w:rPr>
                <w:rFonts w:ascii="Arial" w:cs="Arial" w:eastAsia="Arial" w:hAnsi="Arial"/>
                <w:i/>
                <w:iCs/>
                <w:color w:val="555555"/>
                <w:sz w:val="18"/>
                <w:szCs w:val="18"/>
              </w:rPr>
              <w:t xml:space="preserve">§23</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§23 lists companion documents with stale version numbers: 'R&amp;D and Technology Progression v1.0' (actual: v1.1), 'Commodities &amp; Factory Specification v2' (actual: v2.1). These are low-impact since the files have been renamed to drop version suffixes, but the prose descriptions in §23 still reference the old version numbers and would confuse a reader checking the companion document list.</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Low risk now that filenames no longer carry versions. Recommend updating the §23 companion list to drop version numbers from the descriptions entirely, consistent with the new filename policy.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4F6F8"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3.2</w:t>
            </w:r>
          </w:p>
          <w:p>
            <w:pPr>
              <w:jc w:val="center"/>
            </w:pPr>
            <w:r>
              <w:rPr>
                <w:rFonts w:ascii="Arial" w:cs="Arial" w:eastAsia="Arial" w:hAnsi="Arial"/>
                <w:b/>
                <w:bCs/>
                <w:color w:val="555555"/>
                <w:sz w:val="16"/>
                <w:szCs w:val="16"/>
              </w:rPr>
              <w:t xml:space="preserve">MINOR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Device Notifications Partially Contradict 'Information Is Earned' Pillar  </w:t>
            </w:r>
            <w:r>
              <w:rPr>
                <w:rFonts w:ascii="Arial" w:cs="Arial" w:eastAsia="Arial" w:hAnsi="Arial"/>
                <w:i/>
                <w:iCs/>
                <w:color w:val="555555"/>
                <w:sz w:val="18"/>
                <w:szCs w:val="18"/>
              </w:rPr>
              <w:t xml:space="preserve">§1, §21 Step 26</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§1 states that information is earned through relationships and contact quality, not granted. §21 step 26 describes 'news, messages, financial alerts, intelligence reports delivered to player's device based on their contact network' — this is automatic delivery based on network state. A player with a broad contact network auto-receives a rich picture each tick. This is not philosophically wrong (the network quality gates information quality), but the automatic delivery mechanism slightly softens the 'earned' framing. A player never actively seeks information — it arrives. The GDD doesn't clarify whether active information-seeking is possible beyond waiting for notifications.</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This is a design tension worth resolving explicitly: is passive notification receipt the only information mode, or can the player commission active intelligence gathering that has different quality/cost/risk properties?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4F6F8"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3.3</w:t>
            </w:r>
          </w:p>
          <w:p>
            <w:pPr>
              <w:jc w:val="center"/>
            </w:pPr>
            <w:r>
              <w:rPr>
                <w:rFonts w:ascii="Arial" w:cs="Arial" w:eastAsia="Arial" w:hAnsi="Arial"/>
                <w:b/>
                <w:bCs/>
                <w:color w:val="555555"/>
                <w:sz w:val="16"/>
                <w:szCs w:val="16"/>
              </w:rPr>
              <w:t xml:space="preserve">MINOR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Scenario Coverage Gaps — Major Systems Without Test Scenarios  </w:t>
            </w:r>
            <w:r>
              <w:rPr>
                <w:rFonts w:ascii="Arial" w:cs="Arial" w:eastAsia="Arial" w:hAnsi="Arial"/>
                <w:i/>
                <w:iCs/>
                <w:color w:val="555555"/>
                <w:sz w:val="18"/>
                <w:szCs w:val="18"/>
              </w:rPr>
              <w:t xml:space="preserve">§24 Scenario Index</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Several major systems have no scenario tags in the index despite being V1 scope: Influence decay/rebuild and the 'floor principle' after betrayal (§13.4); the one-tick demand lag creating exploitable price windows (§8.2); obligation escalation path and ratchet behavior (§10.4); evidence neutralization paths — buy, destroy, discredit, bury, leverage (§10.2); facility layout affecting criminal detection risk (§7.8). The 22-tag scenario index has good coverage of NPC behavior and criminal economy but thin coverage of economic mechanics and the influence system.</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These gaps mean core V1 systems will have no Bootstrapper-generated test stubs. Defects in these systems may not surface until late integration testing.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4F6F8"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3.4</w:t>
            </w:r>
          </w:p>
          <w:p>
            <w:pPr>
              <w:jc w:val="center"/>
            </w:pPr>
            <w:r>
              <w:rPr>
                <w:rFonts w:ascii="Arial" w:cs="Arial" w:eastAsia="Arial" w:hAnsi="Arial"/>
                <w:b/>
                <w:bCs/>
                <w:color w:val="555555"/>
                <w:sz w:val="16"/>
                <w:szCs w:val="16"/>
              </w:rPr>
              <w:t xml:space="preserve">MINOR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Tick Step Count: GDD Lists 27 Steps, TDD Has 28+ Modules  </w:t>
            </w:r>
            <w:r>
              <w:rPr>
                <w:rFonts w:ascii="Arial" w:cs="Arial" w:eastAsia="Arial" w:hAnsi="Arial"/>
                <w:i/>
                <w:iCs/>
                <w:color w:val="555555"/>
                <w:sz w:val="18"/>
                <w:szCs w:val="18"/>
              </w:rPr>
              <w:t xml:space="preserve">§21, TDD Modules</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§21 lists 27 tick steps (numbered 1–27). The TDD module list has 28 named steps (step_01 through step_28, plus step_13b and step_26a as additional sub-steps, for a total of 30 module folders). The GDD tick order is the authoritative design description, but it falls short of what the TDD has implemented. Steps covering regulator scrutiny (step_13b), technology (step_26a), and the additional world map step (step_28) have no GDD-level description of their tick sequence position or what they process.</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Developers reading §21 will have an incomplete picture of the tick sequence. The GDD should be updated to match the TDD's 28+ step model, or the TDD should document why additional steps were added beyond the GDD's specification.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CCCCCC" w:sz="1"/>
              <w:left w:val="single" w:color="CCCCCC" w:sz="1"/>
              <w:bottom w:val="single" w:color="CCCCCC" w:sz="1"/>
              <w:right w:val="none" w:color="FFFFFF" w:sz="0"/>
            </w:tcBorders>
            <w:shd w:fill="F4F6F8" w:val="clear"/>
            <w:tcMar>
              <w:top w:type="dxa" w:w="80"/>
              <w:left w:type="dxa" w:w="160"/>
              <w:bottom w:type="dxa" w:w="80"/>
              <w:right w:type="dxa" w:w="160"/>
            </w:tcMar>
            <w:vAlign w:val="center"/>
          </w:tcPr>
          <w:p>
            <w:pPr>
              <w:jc w:val="center"/>
            </w:pPr>
            <w:r>
              <w:rPr>
                <w:rFonts w:ascii="Courier New" w:cs="Courier New" w:eastAsia="Courier New" w:hAnsi="Courier New"/>
                <w:b/>
                <w:bCs/>
                <w:color w:val="2E5F8A"/>
                <w:sz w:val="20"/>
                <w:szCs w:val="20"/>
              </w:rPr>
              <w:t xml:space="preserve">3.5</w:t>
            </w:r>
          </w:p>
          <w:p>
            <w:pPr>
              <w:jc w:val="center"/>
            </w:pPr>
            <w:r>
              <w:rPr>
                <w:rFonts w:ascii="Arial" w:cs="Arial" w:eastAsia="Arial" w:hAnsi="Arial"/>
                <w:b/>
                <w:bCs/>
                <w:color w:val="555555"/>
                <w:sz w:val="16"/>
                <w:szCs w:val="16"/>
              </w:rPr>
              <w:t xml:space="preserve">MINOR</w:t>
            </w:r>
          </w:p>
        </w:tc>
        <w:tc>
          <w:tcPr>
            <w:tcW w:type="dxa" w:w="7920"/>
            <w:tcBorders>
              <w:top w:val="single" w:color="CCCCCC" w:sz="1"/>
              <w:left w:val="none" w:color="FFFFFF" w:sz="0"/>
              <w:bottom w:val="none" w:color="FFFFFF" w:sz="0"/>
              <w:right w:val="single" w:color="CCCCCC"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Scope Reality Check for One-Person + AI Development  </w:t>
            </w:r>
            <w:r>
              <w:rPr>
                <w:rFonts w:ascii="Arial" w:cs="Arial" w:eastAsia="Arial" w:hAnsi="Arial"/>
                <w:i/>
                <w:iCs/>
                <w:color w:val="555555"/>
                <w:sz w:val="18"/>
                <w:szCs w:val="18"/>
              </w:rPr>
              <w:t xml:space="preserve">§23, Overall</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none" w:color="FFFFFF" w:sz="0"/>
              <w:right w:val="single" w:color="CCCCCC" w:sz="1"/>
            </w:tcBorders>
            <w:shd w:fill="FFFFFF" w:val="clear"/>
            <w:tcMar>
              <w:top w:type="dxa" w:w="80"/>
              <w:left w:type="dxa" w:w="160"/>
              <w:bottom w:type="dxa" w:w="40"/>
              <w:right w:type="dxa" w:w="160"/>
            </w:tcMar>
          </w:tcPr>
          <w:p>
            <w:r>
              <w:rPr>
                <w:rFonts w:ascii="Arial" w:cs="Arial" w:eastAsia="Arial" w:hAnsi="Arial"/>
                <w:b/>
                <w:bCs/>
                <w:color w:val="444444"/>
                <w:sz w:val="18"/>
                <w:szCs w:val="18"/>
              </w:rPr>
              <w:t xml:space="preserve">Issue</w:t>
            </w:r>
          </w:p>
          <w:p>
            <w:pPr>
              <w:spacing w:after="40" w:before="40"/>
            </w:pPr>
            <w:r>
              <w:rPr>
                <w:rFonts w:ascii="Arial" w:cs="Arial" w:eastAsia="Arial" w:hAnsi="Arial"/>
                <w:sz w:val="20"/>
                <w:szCs w:val="20"/>
              </w:rPr>
              <w:t xml:space="preserve">The project's methodology document describes this as a one-person + AI ('99% Experiment') project. The GDD's V1 vertical slice — described as 'still enormously ambitious' even after being scoped down — covers: a parallel tick engine with 28+ steps, 500–1000 Significant NPCs with full memory/motivation/relationship modeling, a complete multi-tier supply chain economy, a criminal economy with OPSEC and investigation mechanics, a full political system, a media system, a facility design system, and the entire consequence/exposure/obligation architecture. This is approximately 18–24 person-months of engineering for a 5-person team, not accounting for content, balancing, or UI.</w:t>
            </w:r>
          </w:p>
        </w:tc>
      </w:tr>
      <w:tr>
        <w:tc>
          <w:tcPr>
            <w:vMerge w:val="continue"/>
            <w:tcBorders>
              <w:top w:val="single" w:color="CCCCCC" w:sz="1"/>
              <w:left w:val="single" w:color="CCCCCC" w:sz="1"/>
              <w:bottom w:val="single" w:color="CCCCCC" w:sz="1"/>
              <w:right w:val="none" w:color="FFFFFF" w:sz="0"/>
            </w:tcBorders>
          </w:tcPr>
          <w:p/>
        </w:tc>
        <w:tc>
          <w:tcPr>
            <w:tcW w:type="dxa" w:w="7920"/>
            <w:tcBorders>
              <w:top w:val="none" w:color="FFFFFF" w:sz="0"/>
              <w:left w:val="none" w:color="FFFFFF" w:sz="0"/>
              <w:bottom w:val="single" w:color="CCCCCC" w:sz="1"/>
              <w:right w:val="single" w:color="CCCCCC" w:sz="1"/>
            </w:tcBorders>
            <w:shd w:fill="F4F6F8" w:val="clear"/>
            <w:tcMar>
              <w:top w:type="dxa" w:w="60"/>
              <w:left w:type="dxa" w:w="160"/>
              <w:bottom w:type="dxa" w:w="80"/>
              <w:right w:type="dxa" w:w="160"/>
            </w:tcMar>
          </w:tcPr>
          <w:p>
            <w:r>
              <w:rPr>
                <w:rFonts w:ascii="Arial" w:cs="Arial" w:eastAsia="Arial" w:hAnsi="Arial"/>
                <w:b/>
                <w:bCs/>
                <w:color w:val="444444"/>
                <w:sz w:val="18"/>
                <w:szCs w:val="18"/>
              </w:rPr>
              <w:t xml:space="preserve">Why it matters: </w:t>
            </w:r>
            <w:r>
              <w:rPr>
                <w:rFonts w:ascii="Arial" w:cs="Arial" w:eastAsia="Arial" w:hAnsi="Arial"/>
                <w:i/>
                <w:iCs/>
                <w:color w:val="555555"/>
                <w:sz w:val="18"/>
                <w:szCs w:val="18"/>
              </w:rPr>
              <w:t xml:space="preserve">The GDD should explicitly acknowledge that the AI Bootstrapper and Orchestrator are load-bearing for delivering V1 at this scope — and define what 'minimum viable V1' looks like if the AI pipeline falls short. Without a fallback scope definition, the project has no meaningful way to detect if it has become unshippable.</w:t>
            </w:r>
          </w:p>
        </w:tc>
      </w:tr>
    </w:tbl>
    <w:p>
      <w:pPr>
        <w:spacing w:after="60" w:before="0"/>
      </w:pPr>
      <w:r>
        <w:t xml:space="preserve"/>
      </w:r>
    </w:p>
    <w:p>
      <w:r>
        <w:br w:type="page"/>
      </w:r>
    </w:p>
    <w:p>
      <w:pPr>
        <w:pStyle w:val="Heading1"/>
        <w:spacing w:after="120" w:before="360"/>
      </w:pPr>
      <w:r>
        <w:rPr>
          <w:rFonts w:ascii="Arial" w:cs="Arial" w:eastAsia="Arial" w:hAnsi="Arial"/>
          <w:b/>
          <w:bCs/>
          <w:color w:val="1F3864"/>
          <w:sz w:val="36"/>
          <w:szCs w:val="36"/>
        </w:rPr>
        <w:t xml:space="preserve">Summary &amp; Recommended Actions</w:t>
      </w:r>
    </w:p>
    <w:p>
      <w:pPr>
        <w:pBdr>
          <w:bottom w:val="single" w:color="D6E4F0" w:sz="4"/>
        </w:pBdr>
        <w:spacing w:after="120" w:before="120"/>
      </w:pPr>
      <w:r>
        <w:t xml:space="preserve"/>
      </w:r>
    </w:p>
    <w:p>
      <w:pPr>
        <w:spacing w:after="60" w:before="0"/>
      </w:pPr>
      <w:r>
        <w:t xml:space="preserve"/>
      </w:r>
    </w:p>
    <w:p>
      <w:pPr>
        <w:pStyle w:val="Heading2"/>
        <w:spacing w:after="100" w:before="300"/>
      </w:pPr>
      <w:r>
        <w:rPr>
          <w:rFonts w:ascii="Arial" w:cs="Arial" w:eastAsia="Arial" w:hAnsi="Arial"/>
          <w:b/>
          <w:bCs/>
          <w:color w:val="2E5F8A"/>
          <w:sz w:val="28"/>
          <w:szCs w:val="28"/>
        </w:rPr>
        <w:t xml:space="preserve">Critical — Resolve Before Bootstrapper Runs</w:t>
      </w:r>
    </w:p>
    <w:p>
      <w:pPr>
        <w:spacing w:after="120" w:before="60"/>
      </w:pPr>
      <w:r>
        <w:rPr>
          <w:rFonts w:ascii="Arial" w:cs="Arial" w:eastAsia="Arial" w:hAnsi="Arial"/>
          <w:sz w:val="22"/>
          <w:szCs w:val="22"/>
        </w:rPr>
        <w:t xml:space="preserve">These five issues will cause incorrect code generation or untestable scenario stubs if not resolved in TDD v17:</w:t>
      </w:r>
    </w:p>
    <w:p>
      <w:pPr>
        <w:pStyle w:val="ListParagraph"/>
        <w:numPr>
          <w:ilvl w:val="0"/>
          <w:numId w:val="2"/>
        </w:numPr>
        <w:spacing w:after="40" w:before="40"/>
      </w:pPr>
      <w:r>
        <w:rPr>
          <w:rFonts w:ascii="Arial" w:cs="Arial" w:eastAsia="Arial" w:hAnsi="Arial"/>
          <w:sz w:val="22"/>
          <w:szCs w:val="22"/>
        </w:rPr>
        <w:t xml:space="preserve">1.1 — Commit to satisfaction as a cached float field (stored on NPC) or define the derivation model and its performance implications.</w:t>
      </w:r>
    </w:p>
    <w:p>
      <w:pPr>
        <w:pStyle w:val="ListParagraph"/>
        <w:numPr>
          <w:ilvl w:val="0"/>
          <w:numId w:val="2"/>
        </w:numPr>
        <w:spacing w:after="40" w:before="40"/>
      </w:pPr>
      <w:r>
        <w:rPr>
          <w:rFonts w:ascii="Arial" w:cs="Arial" w:eastAsia="Arial" w:hAnsi="Arial"/>
          <w:sz w:val="22"/>
          <w:szCs w:val="22"/>
        </w:rPr>
        <w:t xml:space="preserve">1.2 — Specify obligation escalation trigger conditions: what causes the second and third ask, and what NPC attributes govern it.</w:t>
      </w:r>
    </w:p>
    <w:p>
      <w:pPr>
        <w:pStyle w:val="ListParagraph"/>
        <w:numPr>
          <w:ilvl w:val="0"/>
          <w:numId w:val="2"/>
        </w:numPr>
        <w:spacing w:after="40" w:before="40"/>
      </w:pPr>
      <w:r>
        <w:rPr>
          <w:rFonts w:ascii="Arial" w:cs="Arial" w:eastAsia="Arial" w:hAnsi="Arial"/>
          <w:sz w:val="22"/>
          <w:szCs w:val="22"/>
        </w:rPr>
        <w:t xml:space="preserve">1.3 — Define the relationship between the 7-stage community escalation ladder and opposition formation: at which stage(s) can formation fire.</w:t>
      </w:r>
    </w:p>
    <w:p>
      <w:pPr>
        <w:pStyle w:val="ListParagraph"/>
        <w:numPr>
          <w:ilvl w:val="0"/>
          <w:numId w:val="2"/>
        </w:numPr>
        <w:spacing w:after="40" w:before="40"/>
      </w:pPr>
      <w:r>
        <w:rPr>
          <w:rFonts w:ascii="Arial" w:cs="Arial" w:eastAsia="Arial" w:hAnsi="Arial"/>
          <w:sz w:val="22"/>
          <w:szCs w:val="22"/>
        </w:rPr>
        <w:t xml:space="preserve">1.4 — Standardize street_reputation to a single type and range across all sections (recommend float 0.0–1.0, with in-game display scaling to 0–100).</w:t>
      </w:r>
    </w:p>
    <w:p>
      <w:pPr>
        <w:pStyle w:val="ListParagraph"/>
        <w:numPr>
          <w:ilvl w:val="0"/>
          <w:numId w:val="2"/>
        </w:numPr>
        <w:spacing w:after="40" w:before="40"/>
      </w:pPr>
      <w:r>
        <w:rPr>
          <w:rFonts w:ascii="Arial" w:cs="Arial" w:eastAsia="Arial" w:hAnsi="Arial"/>
          <w:sz w:val="22"/>
          <w:szCs w:val="22"/>
        </w:rPr>
        <w:t xml:space="preserve">1.5 — Update §21 step 22 to reflect TDD's decision to move fear decay to DeferredWorkQueue. GDD and TDD must agree on what runs each tick.</w:t>
      </w:r>
    </w:p>
    <w:p>
      <w:pPr>
        <w:spacing w:after="60" w:before="0"/>
      </w:pPr>
      <w:r>
        <w:t xml:space="preserve"/>
      </w:r>
    </w:p>
    <w:p>
      <w:pPr>
        <w:pStyle w:val="Heading2"/>
        <w:spacing w:after="100" w:before="300"/>
      </w:pPr>
      <w:r>
        <w:rPr>
          <w:rFonts w:ascii="Arial" w:cs="Arial" w:eastAsia="Arial" w:hAnsi="Arial"/>
          <w:b/>
          <w:bCs/>
          <w:color w:val="2E5F8A"/>
          <w:sz w:val="28"/>
          <w:szCs w:val="28"/>
        </w:rPr>
        <w:t xml:space="preserve">Major — Resolve Before V1 Module Implementation Begins</w:t>
      </w:r>
    </w:p>
    <w:p>
      <w:pPr>
        <w:spacing w:after="120" w:before="60"/>
      </w:pPr>
      <w:r>
        <w:rPr>
          <w:rFonts w:ascii="Arial" w:cs="Arial" w:eastAsia="Arial" w:hAnsi="Arial"/>
          <w:sz w:val="22"/>
          <w:szCs w:val="22"/>
        </w:rPr>
        <w:t xml:space="preserve">These ten issues will produce incorrect or incomplete modules if unresolved:</w:t>
      </w:r>
    </w:p>
    <w:p>
      <w:pPr>
        <w:pStyle w:val="ListParagraph"/>
        <w:numPr>
          <w:ilvl w:val="0"/>
          <w:numId w:val="2"/>
        </w:numPr>
        <w:spacing w:after="40" w:before="40"/>
      </w:pPr>
      <w:r>
        <w:rPr>
          <w:rFonts w:ascii="Arial" w:cs="Arial" w:eastAsia="Arial" w:hAnsi="Arial"/>
          <w:sz w:val="22"/>
          <w:szCs w:val="22"/>
        </w:rPr>
        <w:t xml:space="preserve">2.1 — Decide whether evidence tokens age. If yes, define the aging formula and what resets it. If no, explicitly state permanence as a design principle.</w:t>
      </w:r>
    </w:p>
    <w:p>
      <w:pPr>
        <w:pStyle w:val="ListParagraph"/>
        <w:numPr>
          <w:ilvl w:val="0"/>
          <w:numId w:val="2"/>
        </w:numPr>
        <w:spacing w:after="40" w:before="40"/>
      </w:pPr>
      <w:r>
        <w:rPr>
          <w:rFonts w:ascii="Arial" w:cs="Arial" w:eastAsia="Arial" w:hAnsi="Arial"/>
          <w:sz w:val="22"/>
          <w:szCs w:val="22"/>
        </w:rPr>
        <w:t xml:space="preserve">2.2 — Define informant loyalty mechanic: which NPC field governs it, what thresholds trigger defection, and how mutual incrimination is implemented as evidence tokens.</w:t>
      </w:r>
    </w:p>
    <w:p>
      <w:pPr>
        <w:pStyle w:val="ListParagraph"/>
        <w:numPr>
          <w:ilvl w:val="0"/>
          <w:numId w:val="2"/>
        </w:numPr>
        <w:spacing w:after="40" w:before="40"/>
      </w:pPr>
      <w:r>
        <w:rPr>
          <w:rFonts w:ascii="Arial" w:cs="Arial" w:eastAsia="Arial" w:hAnsi="Arial"/>
          <w:sz w:val="22"/>
          <w:szCs w:val="22"/>
        </w:rPr>
        <w:t xml:space="preserve">2.3 — Specify what events change NPC risk_tolerance during play (not just at initialization).</w:t>
      </w:r>
    </w:p>
    <w:p>
      <w:pPr>
        <w:pStyle w:val="ListParagraph"/>
        <w:numPr>
          <w:ilvl w:val="0"/>
          <w:numId w:val="2"/>
        </w:numPr>
        <w:spacing w:after="40" w:before="40"/>
      </w:pPr>
      <w:r>
        <w:rPr>
          <w:rFonts w:ascii="Arial" w:cs="Arial" w:eastAsia="Arial" w:hAnsi="Arial"/>
          <w:sz w:val="22"/>
          <w:szCs w:val="22"/>
        </w:rPr>
        <w:t xml:space="preserve">2.4 — Resolve the three V1/Expansion boundary conflicts: union NPC targeting in V1, trafficking in V1 consequence thresholds, and personal security in V1 late game.</w:t>
      </w:r>
    </w:p>
    <w:p>
      <w:pPr>
        <w:pStyle w:val="ListParagraph"/>
        <w:numPr>
          <w:ilvl w:val="0"/>
          <w:numId w:val="2"/>
        </w:numPr>
        <w:spacing w:after="40" w:before="40"/>
      </w:pPr>
      <w:r>
        <w:rPr>
          <w:rFonts w:ascii="Arial" w:cs="Arial" w:eastAsia="Arial" w:hAnsi="Arial"/>
          <w:sz w:val="22"/>
          <w:szCs w:val="22"/>
        </w:rPr>
        <w:t xml:space="preserve">2.5 — Define prison operational modifiers: throughput multiplier, order-giving constraints, obligation accumulation rate, and prison death probability model.</w:t>
      </w:r>
    </w:p>
    <w:p>
      <w:pPr>
        <w:pStyle w:val="ListParagraph"/>
        <w:numPr>
          <w:ilvl w:val="0"/>
          <w:numId w:val="2"/>
        </w:numPr>
        <w:spacing w:after="40" w:before="40"/>
      </w:pPr>
      <w:r>
        <w:rPr>
          <w:rFonts w:ascii="Arial" w:cs="Arial" w:eastAsia="Arial" w:hAnsi="Arial"/>
          <w:sz w:val="22"/>
          <w:szCs w:val="22"/>
        </w:rPr>
        <w:t xml:space="preserve">2.6 — Define the criminal_dominance_index field: range, calculation formula, and which tick step writes it.</w:t>
      </w:r>
    </w:p>
    <w:p>
      <w:pPr>
        <w:pStyle w:val="ListParagraph"/>
        <w:numPr>
          <w:ilvl w:val="0"/>
          <w:numId w:val="2"/>
        </w:numPr>
        <w:spacing w:after="40" w:before="40"/>
      </w:pPr>
      <w:r>
        <w:rPr>
          <w:rFonts w:ascii="Arial" w:cs="Arial" w:eastAsia="Arial" w:hAnsi="Arial"/>
          <w:sz w:val="22"/>
          <w:szCs w:val="22"/>
        </w:rPr>
        <w:t xml:space="preserve">2.7 — Specify what 'dormant' evidence tokens mean for investigator visibility and prosecution capability.</w:t>
      </w:r>
    </w:p>
    <w:p>
      <w:pPr>
        <w:pStyle w:val="ListParagraph"/>
        <w:numPr>
          <w:ilvl w:val="0"/>
          <w:numId w:val="2"/>
        </w:numPr>
        <w:spacing w:after="40" w:before="40"/>
      </w:pPr>
      <w:r>
        <w:rPr>
          <w:rFonts w:ascii="Arial" w:cs="Arial" w:eastAsia="Arial" w:hAnsi="Arial"/>
          <w:sz w:val="22"/>
          <w:szCs w:val="22"/>
        </w:rPr>
        <w:t xml:space="preserve">2.8 — Define journalist credibility assessment: what inputs determine credibility, and how disproof is mechanically detected.</w:t>
      </w:r>
    </w:p>
    <w:p>
      <w:pPr>
        <w:pStyle w:val="ListParagraph"/>
        <w:numPr>
          <w:ilvl w:val="0"/>
          <w:numId w:val="2"/>
        </w:numPr>
        <w:spacing w:after="40" w:before="40"/>
      </w:pPr>
      <w:r>
        <w:rPr>
          <w:rFonts w:ascii="Arial" w:cs="Arial" w:eastAsia="Arial" w:hAnsi="Arial"/>
          <w:sz w:val="22"/>
          <w:szCs w:val="22"/>
        </w:rPr>
        <w:t xml:space="preserve">2.9 — Specify default price adjustment rates and the factors that vary them by good category.</w:t>
      </w:r>
    </w:p>
    <w:p>
      <w:pPr>
        <w:pStyle w:val="ListParagraph"/>
        <w:numPr>
          <w:ilvl w:val="0"/>
          <w:numId w:val="2"/>
        </w:numPr>
        <w:spacing w:after="40" w:before="40"/>
      </w:pPr>
      <w:r>
        <w:rPr>
          <w:rFonts w:ascii="Arial" w:cs="Arial" w:eastAsia="Arial" w:hAnsi="Arial"/>
          <w:sz w:val="22"/>
          <w:szCs w:val="22"/>
        </w:rPr>
        <w:t xml:space="preserve">2.10 — Provide an election probability formula: base probability from coalition strength, resource deployment bonus, and event variance range.</w:t>
      </w:r>
    </w:p>
    <w:p>
      <w:pPr>
        <w:spacing w:after="60" w:before="0"/>
      </w:pPr>
      <w:r>
        <w:t xml:space="preserve"/>
      </w:r>
    </w:p>
    <w:p>
      <w:pPr>
        <w:pStyle w:val="Heading2"/>
        <w:spacing w:after="100" w:before="300"/>
      </w:pPr>
      <w:r>
        <w:rPr>
          <w:rFonts w:ascii="Arial" w:cs="Arial" w:eastAsia="Arial" w:hAnsi="Arial"/>
          <w:b/>
          <w:bCs/>
          <w:color w:val="2E5F8A"/>
          <w:sz w:val="28"/>
          <w:szCs w:val="28"/>
        </w:rPr>
        <w:t xml:space="preserve">Minor — Resolve in Documentation Pass</w:t>
      </w:r>
    </w:p>
    <w:p>
      <w:pPr>
        <w:pStyle w:val="ListParagraph"/>
        <w:numPr>
          <w:ilvl w:val="0"/>
          <w:numId w:val="2"/>
        </w:numPr>
        <w:spacing w:after="40" w:before="40"/>
      </w:pPr>
      <w:r>
        <w:rPr>
          <w:rFonts w:ascii="Arial" w:cs="Arial" w:eastAsia="Arial" w:hAnsi="Arial"/>
          <w:sz w:val="22"/>
          <w:szCs w:val="22"/>
        </w:rPr>
        <w:t xml:space="preserve">3.1 — Update §23 companion document list to drop version numbers from descriptions.</w:t>
      </w:r>
    </w:p>
    <w:p>
      <w:pPr>
        <w:pStyle w:val="ListParagraph"/>
        <w:numPr>
          <w:ilvl w:val="0"/>
          <w:numId w:val="2"/>
        </w:numPr>
        <w:spacing w:after="40" w:before="40"/>
      </w:pPr>
      <w:r>
        <w:rPr>
          <w:rFonts w:ascii="Arial" w:cs="Arial" w:eastAsia="Arial" w:hAnsi="Arial"/>
          <w:sz w:val="22"/>
          <w:szCs w:val="22"/>
        </w:rPr>
        <w:t xml:space="preserve">3.2 — Clarify whether active intelligence commissioning exists alongside passive notification receipt.</w:t>
      </w:r>
    </w:p>
    <w:p>
      <w:pPr>
        <w:pStyle w:val="ListParagraph"/>
        <w:numPr>
          <w:ilvl w:val="0"/>
          <w:numId w:val="2"/>
        </w:numPr>
        <w:spacing w:after="40" w:before="40"/>
      </w:pPr>
      <w:r>
        <w:rPr>
          <w:rFonts w:ascii="Arial" w:cs="Arial" w:eastAsia="Arial" w:hAnsi="Arial"/>
          <w:sz w:val="22"/>
          <w:szCs w:val="22"/>
        </w:rPr>
        <w:t xml:space="preserve">3.3 — Add scenario tags for: influence floor principle, demand lag arbitrage, obligation escalation, evidence neutralization, and facility layout detection.</w:t>
      </w:r>
    </w:p>
    <w:p>
      <w:pPr>
        <w:pStyle w:val="ListParagraph"/>
        <w:numPr>
          <w:ilvl w:val="0"/>
          <w:numId w:val="2"/>
        </w:numPr>
        <w:spacing w:after="40" w:before="40"/>
      </w:pPr>
      <w:r>
        <w:rPr>
          <w:rFonts w:ascii="Arial" w:cs="Arial" w:eastAsia="Arial" w:hAnsi="Arial"/>
          <w:sz w:val="22"/>
          <w:szCs w:val="22"/>
        </w:rPr>
        <w:t xml:space="preserve">3.4 — Update §21 tick sequence to include steps 13b, 26a, and 28, with descriptions of what each processes.</w:t>
      </w:r>
    </w:p>
    <w:p>
      <w:pPr>
        <w:pStyle w:val="ListParagraph"/>
        <w:numPr>
          <w:ilvl w:val="0"/>
          <w:numId w:val="2"/>
        </w:numPr>
        <w:spacing w:after="40" w:before="40"/>
      </w:pPr>
      <w:r>
        <w:rPr>
          <w:rFonts w:ascii="Arial" w:cs="Arial" w:eastAsia="Arial" w:hAnsi="Arial"/>
          <w:sz w:val="22"/>
          <w:szCs w:val="22"/>
        </w:rPr>
        <w:t xml:space="preserve">3.5 — Add an explicit fallback scope definition: what is minimum viable V1 if the AI pipeline delivers less than the full specification.</w:t>
      </w:r>
    </w:p>
    <w:p>
      <w:pPr>
        <w:spacing w:after="120" w:before="0"/>
      </w:pPr>
      <w:r>
        <w:t xml:space="preserve"/>
      </w:r>
    </w:p>
    <w:p>
      <w:pPr>
        <w:pBdr>
          <w:bottom w:val="single" w:color="D6E4F0" w:sz="4"/>
        </w:pBdr>
        <w:spacing w:after="120" w:before="120"/>
      </w:pPr>
      <w:r>
        <w:t xml:space="preserve"/>
      </w:r>
    </w:p>
    <w:p>
      <w:pPr>
        <w:spacing w:after="0" w:before="120"/>
        <w:jc w:val="center"/>
      </w:pPr>
      <w:r>
        <w:rPr>
          <w:rFonts w:ascii="Arial" w:cs="Arial" w:eastAsia="Arial" w:hAnsi="Arial"/>
          <w:i/>
          <w:iCs/>
          <w:color w:val="999999"/>
          <w:sz w:val="18"/>
          <w:szCs w:val="18"/>
        </w:rPr>
        <w:t xml:space="preserve">EconLife GDD Audit — March 2026 — Generated by Cowork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pBdr>
      <w:tabs>
        <w:tab w:val="right" w:pos="9360"/>
      </w:tabs>
    </w:pPr>
    <w:r>
      <w:rPr>
        <w:rFonts w:ascii="Arial" w:cs="Arial" w:eastAsia="Arial" w:hAnsi="Arial"/>
        <w:color w:val="888888"/>
        <w:sz w:val="18"/>
        <w:szCs w:val="18"/>
      </w:rPr>
      <w:t xml:space="preserve">EconLife — GDD Audit Report</w:t>
    </w:r>
    <w:r>
      <w:rPr>
        <w:rFonts w:ascii="Arial" w:cs="Arial" w:eastAsia="Arial" w:hAnsi="Arial"/>
        <w:color w:val="888888"/>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5F8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2026-03-04T19:49:23.185Z</dcterms:created>
  <dcterms:modified xsi:type="dcterms:W3CDTF">2026-03-04T19:49:23.185Z</dcterms:modified>
</cp:coreProperties>
</file>

<file path=docProps/custom.xml><?xml version="1.0" encoding="utf-8"?>
<Properties xmlns="http://schemas.openxmlformats.org/officeDocument/2006/custom-properties" xmlns:vt="http://schemas.openxmlformats.org/officeDocument/2006/docPropsVTypes"/>
</file>