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72"/>
          <w:szCs w:val="72"/>
        </w:rPr>
        <w:t xml:space="preserve">EconLife</w:t>
      </w:r>
    </w:p>
    <w:p>
      <w:pPr>
        <w:spacing w:after="160"/>
        <w:jc w:val="center"/>
      </w:pPr>
      <w:r>
        <w:rPr>
          <w:rFonts w:ascii="Arial" w:cs="Arial" w:eastAsia="Arial" w:hAnsi="Arial"/>
          <w:b/>
          <w:bCs/>
          <w:color w:val="1A3A5C"/>
          <w:sz w:val="40"/>
          <w:szCs w:val="40"/>
        </w:rPr>
        <w:t xml:space="preserve">DOCUMENTATION AUDIT REPORT</w:t>
      </w:r>
    </w:p>
    <w:p>
      <w:pPr>
        <w:spacing w:after="80"/>
        <w:jc w:val="center"/>
      </w:pPr>
      <w:r>
        <w:rPr>
          <w:rFonts w:ascii="Arial" w:cs="Arial" w:eastAsia="Arial" w:hAnsi="Arial"/>
          <w:color w:val="555555"/>
          <w:sz w:val="24"/>
          <w:szCs w:val="24"/>
        </w:rPr>
        <w:t xml:space="preserve">Cross-Document Consistency, Blocker &amp; Missing Spec Analysis</w:t>
      </w:r>
    </w:p>
    <w:p>
      <w:pPr>
        <w:spacing w:after="80"/>
        <w:jc w:val="center"/>
      </w:pPr>
      <w:r>
        <w:rPr>
          <w:rFonts w:ascii="Arial" w:cs="Arial" w:eastAsia="Arial" w:hAnsi="Arial"/>
          <w:color w:val="777777"/>
          <w:sz w:val="18"/>
          <w:szCs w:val="18"/>
        </w:rPr>
        <w:t xml:space="preserve">Against GDD v1.2 · TDD v17 · FTL · Commodities v2.2 · R&amp;D v2.1 · WorldGen v0.16 · World Map v1.1 · Tech Lifecycle · AI Dev Plan</w:t>
      </w:r>
    </w:p>
    <w:p>
      <w:pPr>
        <w:pBdr>
          <w:bottom w:val="single" w:color="1A3A5C" w:sz="8" w:space="4"/>
        </w:pBdr>
        <w:spacing w:after="1440"/>
        <w:jc w:val="center"/>
      </w:pPr>
      <w:r>
        <w:rPr>
          <w:rFonts w:ascii="Arial" w:cs="Arial" w:eastAsia="Arial" w:hAnsi="Arial"/>
          <w:color w:val="777777"/>
          <w:sz w:val="18"/>
          <w:szCs w:val="18"/>
        </w:rPr>
        <w:t xml:space="preserve">Generated: March 8, 2026</w:t>
      </w:r>
    </w:p>
    <w:p>
      <w:pPr>
        <w:pStyle w:val="Heading1"/>
        <w:pageBreakBefore/>
      </w:pPr>
      <w:r>
        <w:rPr>
          <w:rFonts w:ascii="Arial" w:cs="Arial" w:eastAsia="Arial" w:hAnsi="Arial"/>
          <w:b/>
          <w:bCs/>
          <w:color w:val="1A3A5C"/>
          <w:sz w:val="36"/>
          <w:szCs w:val="36"/>
        </w:rPr>
        <w:t xml:space="preserve">1. Purpose &amp; Methodology</w:t>
      </w:r>
    </w:p>
    <w:p>
      <w:pPr>
        <w:spacing w:after="120"/>
      </w:pPr>
      <w:r>
        <w:rPr>
          <w:rFonts w:ascii="Arial" w:cs="Arial" w:eastAsia="Arial" w:hAnsi="Arial"/>
          <w:b w:val="false"/>
          <w:bCs w:val="false"/>
          <w:color w:val="1A1A1A"/>
          <w:sz w:val="20"/>
          <w:szCs w:val="20"/>
        </w:rPr>
        <w:t xml:space="preserve">This report audits all EconLife design and technical documentation as a complete corpus, identifying every issue that would prevent the AI Bootstrapper from generating correct implementation output, every contradiction between documents, every V1-scoped system with insufficient specification to build, and every scope boundary that requires a resolution decision before implementation can proceed.</w:t>
      </w:r>
    </w:p>
    <w:p>
      <w:pPr>
        <w:spacing w:after="120"/>
      </w:pPr>
      <w:r>
        <w:rPr>
          <w:rFonts w:ascii="Arial" w:cs="Arial" w:eastAsia="Arial" w:hAnsi="Arial"/>
          <w:b w:val="false"/>
          <w:bCs w:val="false"/>
          <w:color w:val="1A1A1A"/>
          <w:sz w:val="20"/>
          <w:szCs w:val="20"/>
        </w:rPr>
        <w:t xml:space="preserve">Issues are classified using the project's own taxonomy. The target reader is the AI Bootstrapper and the human designer reviewing its inputs. Findings are stated in machine-readable terms — explicit field names, named conditions, and when-X-then-Y assertions — not narrative commentary.</w:t>
      </w:r>
    </w:p>
    <w:p>
      <w:r>
        <w:t xml:space="preserve"/>
      </w:r>
    </w:p>
    <w:p>
      <w:pPr>
        <w:spacing w:after="120"/>
      </w:pPr>
      <w:r>
        <w:rPr>
          <w:rFonts w:ascii="Arial" w:cs="Arial" w:eastAsia="Arial" w:hAnsi="Arial"/>
          <w:b/>
          <w:bCs/>
          <w:color w:val="1A1A1A"/>
          <w:sz w:val="20"/>
          <w:szCs w:val="20"/>
        </w:rPr>
        <w:t xml:space="preserve">Documents audited:</w:t>
      </w:r>
    </w:p>
    <w:p>
      <w:pPr>
        <w:pStyle w:val="ListParagraph"/>
        <w:numPr>
          <w:ilvl w:val="0"/>
          <w:numId w:val="2"/>
        </w:numPr>
      </w:pPr>
      <w:r>
        <w:rPr>
          <w:rFonts w:ascii="Arial" w:cs="Arial" w:eastAsia="Arial" w:hAnsi="Arial"/>
          <w:sz w:val="19"/>
          <w:szCs w:val="19"/>
        </w:rPr>
        <w:t xml:space="preserve">GDD v1.2 (EconLife_GDD_v12.md) — primary specification</w:t>
      </w:r>
    </w:p>
    <w:p>
      <w:pPr>
        <w:pStyle w:val="ListParagraph"/>
        <w:numPr>
          <w:ilvl w:val="0"/>
          <w:numId w:val="2"/>
        </w:numPr>
      </w:pPr>
      <w:r>
        <w:rPr>
          <w:rFonts w:ascii="Arial" w:cs="Arial" w:eastAsia="Arial" w:hAnsi="Arial"/>
          <w:sz w:val="19"/>
          <w:szCs w:val="19"/>
        </w:rPr>
        <w:t xml:space="preserve">Feature Tier List (EconLife_Feature_Tier_List.md) — V1/EX/CUT scope authority</w:t>
      </w:r>
    </w:p>
    <w:p>
      <w:pPr>
        <w:pStyle w:val="ListParagraph"/>
        <w:numPr>
          <w:ilvl w:val="0"/>
          <w:numId w:val="2"/>
        </w:numPr>
      </w:pPr>
      <w:r>
        <w:rPr>
          <w:rFonts w:ascii="Arial" w:cs="Arial" w:eastAsia="Arial" w:hAnsi="Arial"/>
          <w:sz w:val="19"/>
          <w:szCs w:val="19"/>
        </w:rPr>
        <w:t xml:space="preserve">Technical Design Document v17 (EconLife_Technical_Design_v17.md) — architecture authority</w:t>
      </w:r>
    </w:p>
    <w:p>
      <w:pPr>
        <w:pStyle w:val="ListParagraph"/>
        <w:numPr>
          <w:ilvl w:val="0"/>
          <w:numId w:val="2"/>
        </w:numPr>
      </w:pPr>
      <w:r>
        <w:rPr>
          <w:rFonts w:ascii="Arial" w:cs="Arial" w:eastAsia="Arial" w:hAnsi="Arial"/>
          <w:sz w:val="19"/>
          <w:szCs w:val="19"/>
        </w:rPr>
        <w:t xml:space="preserve">Commodities &amp; Factories v2.2 (EconLife_Commodities_and_Factories_v22.md)</w:t>
      </w:r>
    </w:p>
    <w:p>
      <w:pPr>
        <w:pStyle w:val="ListParagraph"/>
        <w:numPr>
          <w:ilvl w:val="0"/>
          <w:numId w:val="2"/>
        </w:numPr>
      </w:pPr>
      <w:r>
        <w:rPr>
          <w:rFonts w:ascii="Arial" w:cs="Arial" w:eastAsia="Arial" w:hAnsi="Arial"/>
          <w:sz w:val="19"/>
          <w:szCs w:val="19"/>
        </w:rPr>
        <w:t xml:space="preserve">R&amp;D &amp; Technology v2.1 (EconLife_RnD_and_Technology_v21.md)</w:t>
      </w:r>
    </w:p>
    <w:p>
      <w:pPr>
        <w:pStyle w:val="ListParagraph"/>
        <w:numPr>
          <w:ilvl w:val="0"/>
          <w:numId w:val="2"/>
        </w:numPr>
      </w:pPr>
      <w:r>
        <w:rPr>
          <w:rFonts w:ascii="Arial" w:cs="Arial" w:eastAsia="Arial" w:hAnsi="Arial"/>
          <w:sz w:val="19"/>
          <w:szCs w:val="19"/>
        </w:rPr>
        <w:t xml:space="preserve">Tech Lifecycle Spec (tech_lifecycle_spec.md) — integration target for R&amp;D v2.1</w:t>
      </w:r>
    </w:p>
    <w:p>
      <w:pPr>
        <w:pStyle w:val="ListParagraph"/>
        <w:numPr>
          <w:ilvl w:val="0"/>
          <w:numId w:val="2"/>
        </w:numPr>
      </w:pPr>
      <w:r>
        <w:rPr>
          <w:rFonts w:ascii="Arial" w:cs="Arial" w:eastAsia="Arial" w:hAnsi="Arial"/>
          <w:sz w:val="19"/>
          <w:szCs w:val="19"/>
        </w:rPr>
        <w:t xml:space="preserve">World Map &amp; Geography v1.1 (EconLife_World_Map_and_Geography.md)</w:t>
      </w:r>
    </w:p>
    <w:p>
      <w:pPr>
        <w:pStyle w:val="ListParagraph"/>
        <w:numPr>
          <w:ilvl w:val="0"/>
          <w:numId w:val="2"/>
        </w:numPr>
      </w:pPr>
      <w:r>
        <w:rPr>
          <w:rFonts w:ascii="Arial" w:cs="Arial" w:eastAsia="Arial" w:hAnsi="Arial"/>
          <w:sz w:val="19"/>
          <w:szCs w:val="19"/>
        </w:rPr>
        <w:t xml:space="preserve">Procedural World Generation v0.16 (EconLife_WorldGen_v016.md) — EX forward design</w:t>
      </w:r>
    </w:p>
    <w:p>
      <w:pPr>
        <w:pStyle w:val="ListParagraph"/>
        <w:numPr>
          <w:ilvl w:val="0"/>
          <w:numId w:val="2"/>
        </w:numPr>
      </w:pPr>
      <w:r>
        <w:rPr>
          <w:rFonts w:ascii="Arial" w:cs="Arial" w:eastAsia="Arial" w:hAnsi="Arial"/>
          <w:sz w:val="19"/>
          <w:szCs w:val="19"/>
        </w:rPr>
        <w:t xml:space="preserve">AI Development Plan (EconLife_AI_Development_Plan.md)</w:t>
      </w:r>
    </w:p>
    <w:p>
      <w:pPr>
        <w:pStyle w:val="ListParagraph"/>
        <w:numPr>
          <w:ilvl w:val="0"/>
          <w:numId w:val="2"/>
        </w:numPr>
      </w:pPr>
      <w:r>
        <w:rPr>
          <w:rFonts w:ascii="Arial" w:cs="Arial" w:eastAsia="Arial" w:hAnsi="Arial"/>
          <w:sz w:val="19"/>
          <w:szCs w:val="19"/>
        </w:rPr>
        <w:t xml:space="preserve">99% Experiment (EconLife_99_Percent_Experiment.md) — methodology companion</w:t>
      </w:r>
    </w:p>
    <w:p>
      <w:r>
        <w:t xml:space="preserve"/>
      </w:r>
    </w:p>
    <w:p>
      <w:pPr>
        <w:pStyle w:val="Heading1"/>
        <w:pageBreakBefore/>
      </w:pPr>
      <w:r>
        <w:rPr>
          <w:rFonts w:ascii="Arial" w:cs="Arial" w:eastAsia="Arial" w:hAnsi="Arial"/>
          <w:b/>
          <w:bCs/>
          <w:color w:val="1A3A5C"/>
          <w:sz w:val="36"/>
          <w:szCs w:val="36"/>
        </w:rPr>
        <w:t xml:space="preserve">2. Finding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6240"/>
      </w:tblGrid>
      <w:tr>
        <w:trPr>
          <w:tblHeader/>
        </w:trPr>
        <w:tc>
          <w:tcPr>
            <w:tcW w:type="dxa" w:w="24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Classification</w:t>
            </w:r>
          </w:p>
        </w:tc>
        <w:tc>
          <w:tcPr>
            <w:tcW w:type="dxa" w:w="7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Count</w:t>
            </w:r>
          </w:p>
        </w:tc>
        <w:tc>
          <w:tcPr>
            <w:tcW w:type="dxa" w:w="624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Severity Description</w:t>
            </w:r>
          </w:p>
        </w:tc>
      </w:tr>
      <w:tr>
        <w:tc>
          <w:tcPr>
            <w:tcW w:type="dxa" w:w="2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pPr>
              <w:jc w:val="left"/>
            </w:pPr>
            <w:r>
              <w:rPr>
                <w:rFonts w:ascii="Arial" w:cs="Arial" w:eastAsia="Arial" w:hAnsi="Arial"/>
                <w:b/>
                <w:bCs/>
                <w:color w:val="C0392B"/>
                <w:sz w:val="20"/>
                <w:szCs w:val="20"/>
              </w:rPr>
              <w:t xml:space="preserve">[BLOCKER]</w:t>
            </w:r>
          </w:p>
        </w:tc>
        <w:tc>
          <w:tcPr>
            <w:tcW w:type="dxa" w:w="72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20</w:t>
            </w:r>
          </w:p>
        </w:tc>
        <w:tc>
          <w:tcPr>
            <w:tcW w:type="dxa" w:w="624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Prevents the AI Bootstrapper from generating correct output</w:t>
            </w:r>
          </w:p>
        </w:tc>
      </w:tr>
      <w:tr>
        <w:tc>
          <w:tcPr>
            <w:tcW w:type="dxa" w:w="24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pPr>
              <w:jc w:val="left"/>
            </w:pPr>
            <w:r>
              <w:rPr>
                <w:rFonts w:ascii="Arial" w:cs="Arial" w:eastAsia="Arial" w:hAnsi="Arial"/>
                <w:b/>
                <w:bCs/>
                <w:color w:val="E67E22"/>
                <w:sz w:val="20"/>
                <w:szCs w:val="20"/>
              </w:rPr>
              <w:t xml:space="preserve">[INCONSISTENCY]</w:t>
            </w:r>
          </w:p>
        </w:tc>
        <w:tc>
          <w:tcPr>
            <w:tcW w:type="dxa" w:w="72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9</w:t>
            </w:r>
          </w:p>
        </w:tc>
        <w:tc>
          <w:tcPr>
            <w:tcW w:type="dxa" w:w="624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Contradiction between two or more documents</w:t>
            </w:r>
          </w:p>
        </w:tc>
      </w:tr>
      <w:tr>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jc w:val="left"/>
            </w:pPr>
            <w:r>
              <w:rPr>
                <w:rFonts w:ascii="Arial" w:cs="Arial" w:eastAsia="Arial" w:hAnsi="Arial"/>
                <w:b/>
                <w:bCs/>
                <w:color w:val="2980B9"/>
                <w:sz w:val="20"/>
                <w:szCs w:val="20"/>
              </w:rPr>
              <w:t xml:space="preserve">[PRECISION]</w:t>
            </w:r>
          </w:p>
        </w:tc>
        <w:tc>
          <w:tcPr>
            <w:tcW w:type="dxa" w:w="7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jc w:val="center"/>
            </w:pPr>
            <w:r>
              <w:rPr>
                <w:rFonts w:ascii="Arial" w:cs="Arial" w:eastAsia="Arial" w:hAnsi="Arial"/>
                <w:b/>
                <w:bCs/>
                <w:color w:val="2980B9"/>
                <w:sz w:val="20"/>
                <w:szCs w:val="20"/>
              </w:rPr>
              <w:t xml:space="preserve">5</w:t>
            </w:r>
          </w:p>
        </w:tc>
        <w:tc>
          <w:tcPr>
            <w:tcW w:type="dxa" w:w="62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Would cause wrong but defensible interpretation</w:t>
            </w:r>
          </w:p>
        </w:tc>
      </w:tr>
      <w:tr>
        <w:tc>
          <w:tcPr>
            <w:tcW w:type="dxa" w:w="2400"/>
            <w:tcBorders>
              <w:top w:val="single" w:color="BDC3C7" w:sz="1"/>
              <w:left w:val="single" w:color="BDC3C7" w:sz="1"/>
              <w:bottom w:val="single" w:color="BDC3C7" w:sz="1"/>
              <w:right w:val="single" w:color="BDC3C7" w:sz="1"/>
            </w:tcBorders>
            <w:shd w:fill="E8DAEF" w:val="clear"/>
            <w:tcMar>
              <w:top w:type="dxa" w:w="60"/>
              <w:left w:type="dxa" w:w="100"/>
              <w:bottom w:type="dxa" w:w="60"/>
              <w:right w:type="dxa" w:w="100"/>
            </w:tcMar>
          </w:tcPr>
          <w:p>
            <w:pPr>
              <w:jc w:val="left"/>
            </w:pPr>
            <w:r>
              <w:rPr>
                <w:rFonts w:ascii="Arial" w:cs="Arial" w:eastAsia="Arial" w:hAnsi="Arial"/>
                <w:b/>
                <w:bCs/>
                <w:color w:val="7D3C98"/>
                <w:sz w:val="20"/>
                <w:szCs w:val="20"/>
              </w:rPr>
              <w:t xml:space="preserve">[SCOPE]</w:t>
            </w:r>
          </w:p>
        </w:tc>
        <w:tc>
          <w:tcPr>
            <w:tcW w:type="dxa" w:w="720"/>
            <w:tcBorders>
              <w:top w:val="single" w:color="BDC3C7" w:sz="1"/>
              <w:left w:val="single" w:color="BDC3C7" w:sz="1"/>
              <w:bottom w:val="single" w:color="BDC3C7" w:sz="1"/>
              <w:right w:val="single" w:color="BDC3C7" w:sz="1"/>
            </w:tcBorders>
            <w:shd w:fill="E8DAEF" w:val="clear"/>
            <w:tcMar>
              <w:top w:type="dxa" w:w="60"/>
              <w:left w:type="dxa" w:w="100"/>
              <w:bottom w:type="dxa" w:w="60"/>
              <w:right w:type="dxa" w:w="100"/>
            </w:tcMar>
          </w:tcPr>
          <w:p>
            <w:pPr>
              <w:jc w:val="center"/>
            </w:pPr>
            <w:r>
              <w:rPr>
                <w:rFonts w:ascii="Arial" w:cs="Arial" w:eastAsia="Arial" w:hAnsi="Arial"/>
                <w:b/>
                <w:bCs/>
                <w:color w:val="7D3C98"/>
                <w:sz w:val="20"/>
                <w:szCs w:val="20"/>
              </w:rPr>
              <w:t xml:space="preserve">4</w:t>
            </w:r>
          </w:p>
        </w:tc>
        <w:tc>
          <w:tcPr>
            <w:tcW w:type="dxa" w:w="6240"/>
            <w:tcBorders>
              <w:top w:val="single" w:color="BDC3C7" w:sz="1"/>
              <w:left w:val="single" w:color="BDC3C7" w:sz="1"/>
              <w:bottom w:val="single" w:color="BDC3C7" w:sz="1"/>
              <w:right w:val="single" w:color="BDC3C7" w:sz="1"/>
            </w:tcBorders>
            <w:shd w:fill="E8DAE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Feature scope unclear before implementation can begin</w:t>
            </w:r>
          </w:p>
        </w:tc>
      </w:tr>
      <w:tr>
        <w:tc>
          <w:tcPr>
            <w:tcW w:type="dxa" w:w="24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jc w:val="left"/>
            </w:pPr>
            <w:r>
              <w:rPr>
                <w:rFonts w:ascii="Arial" w:cs="Arial" w:eastAsia="Arial" w:hAnsi="Arial"/>
                <w:b/>
                <w:bCs/>
                <w:color w:val="27AE60"/>
                <w:sz w:val="20"/>
                <w:szCs w:val="20"/>
              </w:rPr>
              <w:t xml:space="preserve">[MISSING SPEC]</w:t>
            </w:r>
          </w:p>
        </w:tc>
        <w:tc>
          <w:tcPr>
            <w:tcW w:type="dxa" w:w="72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10</w:t>
            </w:r>
          </w:p>
        </w:tc>
        <w:tc>
          <w:tcPr>
            <w:tcW w:type="dxa" w:w="62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V1 system with no technical specification</w:t>
            </w:r>
          </w:p>
        </w:tc>
      </w:tr>
      <w:tr>
        <w:tc>
          <w:tcPr>
            <w:tcW w:type="dxa" w:w="24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TOTAL</w:t>
            </w:r>
          </w:p>
        </w:tc>
        <w:tc>
          <w:tcPr>
            <w:tcW w:type="dxa" w:w="7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48</w:t>
            </w:r>
          </w:p>
        </w:tc>
        <w:tc>
          <w:tcPr>
            <w:tcW w:type="dxa" w:w="624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Issues requiring resolution before Bootstrapper can proceed</w:t>
            </w:r>
          </w:p>
        </w:tc>
      </w:tr>
    </w:tbl>
    <w:p>
      <w:r>
        <w:t xml:space="preserve"/>
      </w:r>
    </w:p>
    <w:p>
      <w:pPr>
        <w:spacing w:after="120"/>
      </w:pPr>
      <w:r>
        <w:rPr>
          <w:rFonts w:ascii="Arial" w:cs="Arial" w:eastAsia="Arial" w:hAnsi="Arial"/>
          <w:b w:val="false"/>
          <w:bCs w:val="false"/>
          <w:color w:val="1A1A1A"/>
          <w:sz w:val="20"/>
          <w:szCs w:val="20"/>
        </w:rPr>
        <w:t xml:space="preserve">Priority resolution order: resolve all B-01 and B-02 (sign convention conflicts) immediately, as they affect test generation throughout the simulation. Resolve B-03 through B-08 before any module scaffolding begins — they are V1 architectural primitives. B-09 through B-20 can be resolved in parallel with prototype work. All inconsistencies should be adjudicated before the Feature Tier List is treated as final. Missing specs (M-01 through M-10) can be written incrementally but must exist before the relevant module's interface spec is generated.</w:t>
      </w:r>
    </w:p>
    <w:p>
      <w:r>
        <w:t xml:space="preserve"/>
      </w:r>
    </w:p>
    <w:p>
      <w:pPr>
        <w:pStyle w:val="Heading1"/>
        <w:pageBreakBefore/>
      </w:pPr>
      <w:r>
        <w:rPr>
          <w:rFonts w:ascii="Arial" w:cs="Arial" w:eastAsia="Arial" w:hAnsi="Arial"/>
          <w:b/>
          <w:bCs/>
          <w:color w:val="1A3A5C"/>
          <w:sz w:val="36"/>
          <w:szCs w:val="36"/>
        </w:rPr>
        <w:t xml:space="preserve">3. [BLOCKER] — Bootstrapper-Blocking Issues</w:t>
      </w:r>
    </w:p>
    <w:p>
      <w:pPr>
        <w:spacing w:after="120"/>
      </w:pPr>
      <w:r>
        <w:rPr>
          <w:rFonts w:ascii="Arial" w:cs="Arial" w:eastAsia="Arial" w:hAnsi="Arial"/>
          <w:b w:val="false"/>
          <w:bCs w:val="false"/>
          <w:color w:val="1A1A1A"/>
          <w:sz w:val="20"/>
          <w:szCs w:val="20"/>
        </w:rPr>
        <w:t xml:space="preserve">These issues prevent the AI Bootstrapper from generating correct output. Each represents either an undefined data structure required for V1 implementation, a cross-reference that resolves to nothing, or a condition specified with contradictory values across documents. None of these are design decisions still in flux — they are gaps in existing specifications that require a defined answer.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1440"/>
        <w:gridCol w:w="5760"/>
      </w:tblGrid>
      <w:tr>
        <w:trPr>
          <w:tblHeader/>
        </w:trPr>
        <w:tc>
          <w:tcPr>
            <w:tcW w:type="dxa" w:w="7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144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System / Location</w:t>
            </w:r>
          </w:p>
        </w:tc>
        <w:tc>
          <w:tcPr>
            <w:tcW w:type="dxa" w:w="144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Source(s)</w:t>
            </w:r>
          </w:p>
        </w:tc>
        <w:tc>
          <w:tcPr>
            <w:tcW w:type="dxa" w:w="576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Issue</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B-01</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Criminal Entry Conditions</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§12.1</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street_reputation threshold mismatch: internal float is −1.0 to 1.0 (displayed as 0–100 index). Conditions table uses values &gt; 20, &gt; 35, &gt; 40, &gt; 45 without specifying which scale. Bootstrapper will generate conflicting comparison operators.</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B-02</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Whistleblower Eligibility</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§6.8 vs TDD §4.5</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§6.8 specifies emotional_weight &gt; 0.6 (positive). TDD §4.5 specifies entry.emotional_weight &lt; -0.6 (negative). The two documents define the same condition with opposite sign conventions. These implementations are mutually exclusive.</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B-03</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Consumer Demand Model</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§8.2, §21 (step 5)</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Consumer demand is one of three equilibrium price inputs but is completely undefined: no demand function, no NPC good-selection model, no demographic consumption patterns, no demand buffer data structure. Required for market clearing (tick step 5).</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B-04</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NPC Business Decision Matrix</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§8.7 (C6 note), TDD v17</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§8.7 explicitly states 'Decision logic for each behavioral profile is specified in the Technical Design.' TDD v17 does not contain this matrix for any of the four profiles (cost-cutter, quality player, fast expander, defensive incumbent). The cross-reference resolves to nothing.</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B-05</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Influence Network</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§13, FTL</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Influence is a V1 core mechanic described across 2,000+ words of GDD prose. No struct, storage model, or computation spec exists in TDD. How trust-based, obligation-based, fear-based, and movement-based influence are stored and evaluated is entirely unspecified.</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B-06</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OPSEC / Criminal Detection</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§7.8, §12.6, TDD §3</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Tick step 12 runs OPSEC but the algorithm is undefined: how do power_signal, chem_signal, odor_signal, and foot_traffic combine into a detection probability? What threshold triggers InvestigatorMeter updates? Facility recipe fields carry these signals but no consumption function exists.</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B-07</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Background Population Cohort Model</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§3, §16, FTL</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Cohort simulation is V1 (drives labor markets, voting, consumer demand, social stability). Cohort dimensions, tick-update formulas, and aggregation-to-province methods are completely undefined. No struct specification. Bootstrapper cannot generate this module.</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B-08</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Scene Card System</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§20, FTL</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Scene cards are the primary player interaction mechanism, referenced ~35 times in GDD, listed as V1 in FTL. No data structure, trigger specification, dialogue choice model, or outcome-to-simulation feedback spec exists in TDD. This affects every system with player interaction.</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B-09</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Legal Process State Machine</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§10.6, FTL</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Legal process is V1. GDD §10.6 describes 5 stages (Investigation → Arrest → Charges → Trial → Prison) but the state machine is unspecified: no formal states, no transition trigger conditions, no trial outcome probability function, no appeal/pardon mechanics implementation.</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B-10</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FIU / Money Laundering Detection</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§12.5, FTL</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FIU pattern analysis is V1. Detection thresholds, the probability function for each laundering method, pattern matching logic for structuring, and SAR generation triggers are all undefined. Required for the money laundering V1 feature to have mechanical teeth.</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B-11</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EvidenceToken / KnowledgeMap</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TDD §4</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NPC struct declares KnowledgeMap known_evidence and KnowledgeMap known_relationships, but neither KnowledgeMap nor EvidenceToken have struct definitions. Evidence types (financial, testimonial, documentary, physical) described in GDD §10.2 have no corresponding schema.</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B-12</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Obligation Network</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§10.4, FTL</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Obligation network is V1 core mechanic. No ObligationNode or network struct defined in TDD. Escalation mechanics (each step incremental, cumulative dangerous), resolution options (pay/renegotiate/eliminate/expose), and the ratchet effect have no implementation specification.</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B-13</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PlayerCharacter Struct</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§4, TDD §4</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TDD defines the NPC struct in detail. No corresponding PlayerCharacter struct exists. Reputation (4 domains), exposure tracking, obligation balance, skill system (leveled by doing, rust by neglect), health, age, and influence network membership are all undeclared.</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B-14</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CriminalOrganization Struct</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§12.7-12.8, FTL</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Pre-existing NPC criminal organizations and criminal organization structure are both V1 (FTL). GDD §12.7-12.8 describes 4 org types and pre-generation mechanics. No struct defined in TDD. Required for player to enter a world with existing criminal actors.</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B-15</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Random Event System</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§17, FTL</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Random events (all 4 types: natural, accidents, human, economic) are V1. No probability table, event data structure, world-condition modulation formula, or consequence queue integration spec exists anywhere. 'Genuinely random in timing' is a design intent, not an implementation spec.</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B-16</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RegionalMarket Struct</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§8.2, TDD §3.3</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Referenced as subject_id in WorkType::market_recompute. Equilibrium price formula is in GDD §8.2 with named constants. But RegionalMarket struct fields (spot prices per good, supply state, demand state, import ceiling, export floor) are never defined in TDD.</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B-17</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Stock Market</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§6.3, §9.2, FTL</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Stock market is V1 (FTL: 'prices driven by real NPC business performance'). No data structure, price derivation formula from NPCBusiness revenue/profit, share issuance mechanics, or investor path trading interface is specified anywhere in any document.</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B-18</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Election Resolution Formula</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§15, FTL</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Politician path is V1. GDD §15 says election outcome is 'resolved probabilistically based on coalition strength...random variance.' The exact probability function, demographic weight application, and variance model are never specified. Required for political campaign to resolve.</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B-19</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Scenario Tag Index</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v1.2 header</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header states 'Scenario tags added: 22 (see Scenario Tag Index).' No Scenario Tag Index document exists in the project. The GDD contains more than 22 scenario tags. AI Bootstrapper cannot cross-reference or validate scenario completeness without this index.</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B-20</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V1 Province Data Structure</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TDD v17, WorldGen v0.16</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WorldGen v0.16 (EX scope) proposes replacing Province uint32_t id with H3Index and adjacent_province_ids list with ProvinceLink struct. TDD v17 still references adjacent_province_ids. If V1 uses uint32_t, the EX migration path is unspecified. If V1 uses H3Index, TDD must be updated.</w:t>
            </w:r>
          </w:p>
        </w:tc>
      </w:tr>
    </w:tbl>
    <w:p>
      <w:r>
        <w:t xml:space="preserve"/>
      </w:r>
    </w:p>
    <w:p>
      <w:pPr>
        <w:pStyle w:val="Heading1"/>
        <w:pageBreakBefore/>
      </w:pPr>
      <w:r>
        <w:rPr>
          <w:rFonts w:ascii="Arial" w:cs="Arial" w:eastAsia="Arial" w:hAnsi="Arial"/>
          <w:b/>
          <w:bCs/>
          <w:color w:val="1A3A5C"/>
          <w:sz w:val="36"/>
          <w:szCs w:val="36"/>
        </w:rPr>
        <w:t xml:space="preserve">4. [INCONSISTENCY] — Cross-Document Contradictions</w:t>
      </w:r>
    </w:p>
    <w:p>
      <w:pPr>
        <w:spacing w:after="120"/>
      </w:pPr>
      <w:r>
        <w:rPr>
          <w:rFonts w:ascii="Arial" w:cs="Arial" w:eastAsia="Arial" w:hAnsi="Arial"/>
          <w:b w:val="false"/>
          <w:bCs w:val="false"/>
          <w:color w:val="1A1A1A"/>
          <w:sz w:val="20"/>
          <w:szCs w:val="20"/>
        </w:rPr>
        <w:t xml:space="preserve">Contradictions between two documents where both cannot be correct simultaneously. The Feature Tier List is the scope authority. Where FTL conflicts with GDD, FTL governs V1/EX classification and the GDD section should receive an explicit expansion marker. Version reference inconsistencies should be resolved by a doc-version normalization pass.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2160"/>
        <w:gridCol w:w="4320"/>
      </w:tblGrid>
      <w:tr>
        <w:trPr>
          <w:tblHeader/>
        </w:trPr>
        <w:tc>
          <w:tcPr>
            <w:tcW w:type="dxa" w:w="7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216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Document A</w:t>
            </w:r>
          </w:p>
        </w:tc>
        <w:tc>
          <w:tcPr>
            <w:tcW w:type="dxa" w:w="216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Document B</w:t>
            </w:r>
          </w:p>
        </w:tc>
        <w:tc>
          <w:tcPr>
            <w:tcW w:type="dxa" w:w="43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Contradiction</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E67E22"/>
                <w:sz w:val="17"/>
                <w:szCs w:val="17"/>
              </w:rPr>
              <w:t xml:space="preserve">I-01</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§6.5, §12.1 Table</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Feature Tier List</w:t>
            </w:r>
          </w:p>
        </w:tc>
        <w:tc>
          <w:tcPr>
            <w:tcW w:type="dxa" w:w="43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§6.5 Criminal Operator path lists 'weapons dealing' as part of V1. GDD §12 includes 'Illegal weapons trade' in the entry conditions table with fully specified V1 conditions. FTL explicitly classifies 'Weapons trafficking' as EX.</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E67E22"/>
                <w:sz w:val="17"/>
                <w:szCs w:val="17"/>
              </w:rPr>
              <w:t xml:space="preserve">I-02</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§16 (no EX marker)</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Feature Tier List</w:t>
            </w:r>
          </w:p>
        </w:tc>
        <w:tc>
          <w:tcPr>
            <w:tcW w:type="dxa" w:w="43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§16 describes media outlet ownership mechanics (captured outlets, editorial suppression, journalist departure) without an expansion marker. FTL says 'Media outlet ownership — EX. Depends on: media system; expansion.'</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E67E22"/>
                <w:sz w:val="17"/>
                <w:szCs w:val="17"/>
              </w:rPr>
              <w:t xml:space="preserve">I-03</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§18.4 (no EX marker)</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Feature Tier List</w:t>
            </w:r>
          </w:p>
        </w:tc>
        <w:tc>
          <w:tcPr>
            <w:tcW w:type="dxa" w:w="43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§18.4 'The Criminal Sovereign' is described as a first-class power endgame with no expansion marker. FTL says 'Criminal sovereign — EX. Depends on: full criminal economy including trafficking.' Other EX sections in GDD have explicit markers; this one does not.</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E67E22"/>
                <w:sz w:val="17"/>
                <w:szCs w:val="17"/>
              </w:rPr>
              <w:t xml:space="preserve">I-04</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§16 (no EX marker)</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Feature Tier List</w:t>
            </w:r>
          </w:p>
        </w:tc>
        <w:tc>
          <w:tcPr>
            <w:tcW w:type="dxa" w:w="43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§16 describes social media dynamics (viral spread, manipulation via coordinated accounts, amplification networks) without an expansion marker. FTL says 'Social media dynamics — EX. Depends on: media system.'</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E67E22"/>
                <w:sz w:val="17"/>
                <w:szCs w:val="17"/>
              </w:rPr>
              <w:t xml:space="preserve">I-05</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§3: 500–1,000 / TDD §4: 750 / TDD §3: 2,000</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AI Dev Plan CLAUDE.md: 2,000</w:t>
            </w:r>
          </w:p>
        </w:tc>
        <w:tc>
          <w:tcPr>
            <w:tcW w:type="dxa" w:w="43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Significant NPC count per region has four different values across documents: GDD §3 says 500–1,000; TDD §4 V1 planning assumption says 750; TDD §1 prototype question and §3 benchmark target say 2,000–3,000 and 2,000 respectively; AI Dev Plan CLAUDE.md says 2,000.</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E67E22"/>
                <w:sz w:val="17"/>
                <w:szCs w:val="17"/>
              </w:rPr>
              <w:t xml:space="preserve">I-06</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§7.5 (Farm Design)</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Feature Tier List</w:t>
            </w:r>
          </w:p>
        </w:tc>
        <w:tc>
          <w:tcPr>
            <w:tcW w:type="dxa" w:w="43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§7.5 states weather event risk is 'mitigable through insurance.' FTL classifies 'Insurance company — EX.' V1 farms have a weather risk with no V1 mitigation mechanism specified.</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E67E22"/>
                <w:sz w:val="17"/>
                <w:szCs w:val="17"/>
              </w:rPr>
              <w:t xml:space="preserve">I-07</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§8.3, FTL</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All documents</w:t>
            </w:r>
          </w:p>
        </w:tc>
        <w:tc>
          <w:tcPr>
            <w:tcW w:type="dxa" w:w="43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Energy resources are 'sold to regional utilities at market price' in V1. The 'regional utility' is never defined as an entity type. Is it a static price schedule? A pseudo-NPC? How does it set price? How does facility energy_cost per tick connect to this abstraction?</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E67E22"/>
                <w:sz w:val="17"/>
                <w:szCs w:val="17"/>
              </w:rPr>
              <w:t xml:space="preserve">I-08</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AI Dev Plan (GDD v0.9 ref)</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v1.2 (current)</w:t>
            </w:r>
          </w:p>
        </w:tc>
        <w:tc>
          <w:tcPr>
            <w:tcW w:type="dxa" w:w="43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AI Dev Plan and 99% Experiment companion document reference GDD v0.9 throughout, including in the CLAUDE.md template. Current GDD is v1.2. World Map &amp; Geography references TDD v5. R&amp;D v2.1 and WorldGen v0.16 both reference TDD v16. Current TDD is v17.</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E67E22"/>
                <w:sz w:val="17"/>
                <w:szCs w:val="17"/>
              </w:rPr>
              <w:t xml:space="preserve">I-09</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§21 step 2</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TDD §3.3</w:t>
            </w:r>
          </w:p>
        </w:tc>
        <w:tc>
          <w:tcPr>
            <w:tcW w:type="dxa" w:w="43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step 2 is 'Update supply chain propagation — shortages/surpluses.' TDD §3.3 expands step 2 to also execute all DeferredWorkQueue items (consequence queue, transit arrivals, interception checks, market recomputes). The consequence queue firing has no named step in GDD §21.</w:t>
            </w:r>
          </w:p>
        </w:tc>
      </w:tr>
    </w:tbl>
    <w:p>
      <w:r>
        <w:t xml:space="preserve"/>
      </w:r>
    </w:p>
    <w:p>
      <w:pPr>
        <w:pStyle w:val="Heading1"/>
        <w:pageBreakBefore/>
      </w:pPr>
      <w:r>
        <w:rPr>
          <w:rFonts w:ascii="Arial" w:cs="Arial" w:eastAsia="Arial" w:hAnsi="Arial"/>
          <w:b/>
          <w:bCs/>
          <w:color w:val="1A3A5C"/>
          <w:sz w:val="36"/>
          <w:szCs w:val="36"/>
        </w:rPr>
        <w:t xml:space="preserve">5. [PRECISION] — Defensible-But-Wrong Interpretation Risks</w:t>
      </w:r>
    </w:p>
    <w:p>
      <w:pPr>
        <w:spacing w:after="120"/>
      </w:pPr>
      <w:r>
        <w:rPr>
          <w:rFonts w:ascii="Arial" w:cs="Arial" w:eastAsia="Arial" w:hAnsi="Arial"/>
          <w:b w:val="false"/>
          <w:bCs w:val="false"/>
          <w:color w:val="1A1A1A"/>
          <w:sz w:val="20"/>
          <w:szCs w:val="20"/>
        </w:rPr>
        <w:t xml:space="preserve">Issues where the specification is not self-contradictory but where an AI reading it in isolation would make a wrong but logically defensible choice. Each requires an explicit clarifying statement added to the source document — not a redesign.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288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Location</w:t>
            </w:r>
          </w:p>
        </w:tc>
        <w:tc>
          <w:tcPr>
            <w:tcW w:type="dxa" w:w="576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Risk</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980B9"/>
                <w:sz w:val="17"/>
                <w:szCs w:val="17"/>
              </w:rPr>
              <w:t xml:space="preserve">P-01</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tech_lifecycle_spec header vs. TechStage enum</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Document describes 'three-stage technology lifecycle' (RESEARCHED, COMMERCIALIZED, MATURED). TechStage enum has only two values (researched, commercialized). Stage 3 is a continuous float (maturation_level). The 'three stages' naming will cause AI coders to expect a third enum value.</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2980B9"/>
                <w:sz w:val="17"/>
                <w:szCs w:val="17"/>
              </w:rPr>
              <w:t xml:space="preserve">P-02</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TechHolding.internal_use_only vs. stage semantics</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bool internal_use_only on TechHolding says 'commercialized stage but trade restricted.' The definition of stage=commercialized says 'Product becomes observable — other actors can reverse-engineer. Market demand signals are generated.' internal_use_only=true contradicts this definition at commercialized stage.</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980B9"/>
                <w:sz w:val="17"/>
                <w:szCs w:val="17"/>
              </w:rPr>
              <w:t xml:space="preserve">P-03</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CLAUDE.md (AI Dev Plan) performance target</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CLAUDE.md says 'Tick must complete in &lt; 500ms at 2,000 significant NPCs.' TDD §3 says Target = 200ms, Acceptable = 500ms, Failing = 1,000ms. CLAUDE.md encodes the 'Acceptable' threshold as the contract, meaning CI tests would pass at a level TDD classifies as below target.</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2980B9"/>
                <w:sz w:val="17"/>
                <w:szCs w:val="17"/>
              </w:rPr>
              <w:t xml:space="preserve">P-04</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SATISFACTION_RELEVANT_TYPES weight range vs. whistleblower threshold</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witnessed_illegal_activity emotional_weight range is listed as −0.3 to −0.8. Whistleblower eligibility requires entry.emotional_weight &lt; -0.6. Entries with weight between -0.3 and -0.6 are valid witnessed_illegal_activity entries that will never trigger whistleblowing, though they still affect satisfaction. Whether this is intentional design requires explicit clarification.</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980B9"/>
                <w:sz w:val="17"/>
                <w:szCs w:val="17"/>
              </w:rPr>
              <w:t xml:space="preserve">P-05</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GDD §10.5 consequence threshold triggers</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Consequence thresholds describe behaviors as 'existing institutions doing their jobs' but give no quantified trigger values for 'significant net worth,' 'largest regional employer,' or other threshold conditions. Bootstrapper must invent these constants without a spec to anchor against.</w:t>
            </w:r>
          </w:p>
        </w:tc>
      </w:tr>
    </w:tbl>
    <w:p>
      <w:r>
        <w:t xml:space="preserve"/>
      </w:r>
    </w:p>
    <w:p>
      <w:pPr>
        <w:pStyle w:val="Heading1"/>
        <w:pageBreakBefore/>
      </w:pPr>
      <w:r>
        <w:rPr>
          <w:rFonts w:ascii="Arial" w:cs="Arial" w:eastAsia="Arial" w:hAnsi="Arial"/>
          <w:b/>
          <w:bCs/>
          <w:color w:val="1A3A5C"/>
          <w:sz w:val="36"/>
          <w:szCs w:val="36"/>
        </w:rPr>
        <w:t xml:space="preserve">6. [SCOPE] — Pre-Implementation Scope Decisions Required</w:t>
      </w:r>
    </w:p>
    <w:p>
      <w:pPr>
        <w:spacing w:after="120"/>
      </w:pPr>
      <w:r>
        <w:rPr>
          <w:rFonts w:ascii="Arial" w:cs="Arial" w:eastAsia="Arial" w:hAnsi="Arial"/>
          <w:b w:val="false"/>
          <w:bCs w:val="false"/>
          <w:color w:val="1A1A1A"/>
          <w:sz w:val="20"/>
          <w:szCs w:val="20"/>
        </w:rPr>
        <w:t xml:space="preserve">These items require a resolution decision before their implementation scope can be defined. They are not missing specs — they are boundary cases where the correct V1 answer affects the architecture of adjacent systems.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rPr>
          <w:tblHeader/>
        </w:trPr>
        <w:tc>
          <w:tcPr>
            <w:tcW w:type="dxa" w:w="7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144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System</w:t>
            </w:r>
          </w:p>
        </w:tc>
        <w:tc>
          <w:tcPr>
            <w:tcW w:type="dxa" w:w="72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Scope Ambiguity</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7D3C98"/>
                <w:sz w:val="17"/>
                <w:szCs w:val="17"/>
              </w:rPr>
              <w:t xml:space="preserve">S-01</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LOD 1 Simplified Tick</w:t>
            </w:r>
          </w:p>
        </w:tc>
        <w:tc>
          <w:tcPr>
            <w:tcW w:type="dxa" w:w="7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FTL classifies 'LOD simulation system — V1.' World Map &amp; Geography describes LOD 1 nations running a 'simplified tick.' TDD §3 specifies only the LOD 0 full tick. LOD 1 tick steps, aggregation method, and NPC archetype behavior are referenced but never specified. Required for global price signals to function.</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7D3C98"/>
                <w:sz w:val="17"/>
                <w:szCs w:val="17"/>
              </w:rPr>
              <w:t xml:space="preserve">S-02</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V1 Media Scope Boundary</w:t>
            </w:r>
          </w:p>
        </w:tc>
        <w:tc>
          <w:tcPr>
            <w:tcW w:type="dxa" w:w="72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§16 describes both traditional media and social media in one undivided section. FTL marks 'Media outlet ownership' and 'Social media dynamics' as EX but 'Media system' and 'Story propagation' as V1. The functional V1/EX boundary within the media section is unclear.</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7D3C98"/>
                <w:sz w:val="17"/>
                <w:szCs w:val="17"/>
              </w:rPr>
              <w:t xml:space="preserve">S-03</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Alternative Identity V1 Implementation</w:t>
            </w:r>
          </w:p>
        </w:tc>
        <w:tc>
          <w:tcPr>
            <w:tcW w:type="dxa" w:w="7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FTL says 'Alternative identities — V1' and 'Counterfeiting — EX (document fraud as minimal V1 unlock via scene card).' The C1 fix note specifies 'basic document fraud capability: a scene card interaction with a contact producing an AlternativeIdentity record.' The AlternativeIdentity record fields and the burned-identity latent liability mechanics are undeclared.</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7D3C98"/>
                <w:sz w:val="17"/>
                <w:szCs w:val="17"/>
              </w:rPr>
              <w:t xml:space="preserve">S-04</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V1 Movement-Based Influence</w:t>
            </w:r>
          </w:p>
        </w:tc>
        <w:tc>
          <w:tcPr>
            <w:tcW w:type="dxa" w:w="72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FTL: 'Movement-based influence — EX; can be in V1 as a thin system.' NPC struct has movement_follower_count for community_leader, politician, union_organizer, ngo_investigator. Player has movement_follower_count updated in tick step 22. Whether V1 ships a thin movement system or none needs a resolution decision.</w:t>
            </w:r>
          </w:p>
        </w:tc>
      </w:tr>
    </w:tbl>
    <w:p>
      <w:r>
        <w:t xml:space="preserve"/>
      </w:r>
    </w:p>
    <w:p>
      <w:pPr>
        <w:pStyle w:val="Heading1"/>
        <w:pageBreakBefore/>
      </w:pPr>
      <w:r>
        <w:rPr>
          <w:rFonts w:ascii="Arial" w:cs="Arial" w:eastAsia="Arial" w:hAnsi="Arial"/>
          <w:b/>
          <w:bCs/>
          <w:color w:val="1A3A5C"/>
          <w:sz w:val="36"/>
          <w:szCs w:val="36"/>
        </w:rPr>
        <w:t xml:space="preserve">7. [MISSING SPEC] — V1 Systems Without Technical Specifications</w:t>
      </w:r>
    </w:p>
    <w:p>
      <w:pPr>
        <w:spacing w:after="120"/>
      </w:pPr>
      <w:r>
        <w:rPr>
          <w:rFonts w:ascii="Arial" w:cs="Arial" w:eastAsia="Arial" w:hAnsi="Arial"/>
          <w:b w:val="false"/>
          <w:bCs w:val="false"/>
          <w:color w:val="1A1A1A"/>
          <w:sz w:val="20"/>
          <w:szCs w:val="20"/>
        </w:rPr>
        <w:t xml:space="preserve">These are systems explicitly listed as V1 in the Feature Tier List (or required for V1 systems to function) that have descriptive GDD coverage but no corresponding technical specification in the TDD. Each needs a specification written and integrated into TDD before its interface spec can be generated.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720"/>
        <w:gridCol w:w="5760"/>
      </w:tblGrid>
      <w:tr>
        <w:trPr>
          <w:tblHeader/>
        </w:trPr>
        <w:tc>
          <w:tcPr>
            <w:tcW w:type="dxa" w:w="7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216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System</w:t>
            </w:r>
          </w:p>
        </w:tc>
        <w:tc>
          <w:tcPr>
            <w:tcW w:type="dxa" w:w="7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Tier</w:t>
            </w:r>
          </w:p>
        </w:tc>
        <w:tc>
          <w:tcPr>
            <w:tcW w:type="dxa" w:w="576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Gap Description</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7AE60"/>
                <w:sz w:val="17"/>
                <w:szCs w:val="17"/>
              </w:rPr>
              <w:t xml:space="preserve">M-01</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Character Skill System</w:t>
            </w:r>
          </w:p>
        </w:tc>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7"/>
                <w:szCs w:val="17"/>
              </w:rPr>
              <w:t xml:space="preserve">V1</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§4 lists 12+ skill domains that 'level by doing and rust through neglect.' FTL: 'Skill leveling and rust — V1.' No implementation spec: what actions accumulate skill points, at what rate, what the decay function is, or how skill values modify game outcomes.</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27AE60"/>
                <w:sz w:val="17"/>
                <w:szCs w:val="17"/>
              </w:rPr>
              <w:t xml:space="preserve">M-02</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Healthcare / Medical Facility</w:t>
            </w:r>
          </w:p>
        </w:tc>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center"/>
            </w:pPr>
            <w:r>
              <w:rPr>
                <w:rFonts w:ascii="Arial" w:cs="Arial" w:eastAsia="Arial" w:hAnsi="Arial"/>
                <w:b w:val="false"/>
                <w:bCs w:val="false"/>
                <w:color w:val="1A1A1A"/>
                <w:sz w:val="17"/>
                <w:szCs w:val="17"/>
              </w:rPr>
              <w:t xml:space="preserve">V1</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§4 references healthcare access as a health management tool. GDD §7.9 lists hospitals as a facility type. FTL does not list healthcare as a distinct V1 item. No facility spec, treatment cost model, or regional health system abstraction is defined.</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7AE60"/>
                <w:sz w:val="17"/>
                <w:szCs w:val="17"/>
              </w:rPr>
              <w:t xml:space="preserve">M-03</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Real Estate Market Mechanics</w:t>
            </w:r>
          </w:p>
        </w:tc>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7"/>
                <w:szCs w:val="17"/>
              </w:rPr>
              <w:t xml:space="preserve">V1</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FTL: 'Real estate market — V1.' Beyond GDD mentions of property purchase for money laundering and player residence, no mechanics are specified: purchase/sale transaction flow, price driver model beyond generic supply/demand, or how property value connects to province attributes.</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27AE60"/>
                <w:sz w:val="17"/>
                <w:szCs w:val="17"/>
              </w:rPr>
              <w:t xml:space="preserve">M-04</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Addiction State Machine</w:t>
            </w:r>
          </w:p>
        </w:tc>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center"/>
            </w:pPr>
            <w:r>
              <w:rPr>
                <w:rFonts w:ascii="Arial" w:cs="Arial" w:eastAsia="Arial" w:hAnsi="Arial"/>
                <w:b w:val="false"/>
                <w:bCs w:val="false"/>
                <w:color w:val="1A1A1A"/>
                <w:sz w:val="17"/>
                <w:szCs w:val="17"/>
              </w:rPr>
              <w:t xml:space="preserve">V1</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§12.11 defines 5 addiction progression states (Casual → Regular → Dependency → Active → Recovery/Terminal). FTL: 'Addiction as regional consequence — V1.' No state machine spec: transition probabilities, triggers, NPC struct field for addiction state, or regional aggregate calculation.</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7AE60"/>
                <w:sz w:val="17"/>
                <w:szCs w:val="17"/>
              </w:rPr>
              <w:t xml:space="preserve">M-05</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Currency / Exchange Rate System</w:t>
            </w:r>
          </w:p>
        </w:tc>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7"/>
                <w:szCs w:val="17"/>
              </w:rPr>
              <w:t xml:space="preserve">V1</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GDD §2 states 'nations have independent currencies.' GDD §17 lists 'currency crises' as random events. Criminal entry conditions use a '$50,000/month' threshold. No currency exchange mechanics, exchange rate data structure, or currency crisis mechanics are defined.</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27AE60"/>
                <w:sz w:val="17"/>
                <w:szCs w:val="17"/>
              </w:rPr>
              <w:t xml:space="preserve">M-06</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Government Bond Market</w:t>
            </w:r>
          </w:p>
        </w:tc>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center"/>
            </w:pPr>
            <w:r>
              <w:rPr>
                <w:rFonts w:ascii="Arial" w:cs="Arial" w:eastAsia="Arial" w:hAnsi="Arial"/>
                <w:b w:val="false"/>
                <w:bCs w:val="false"/>
                <w:color w:val="1A1A1A"/>
                <w:sz w:val="17"/>
                <w:szCs w:val="17"/>
              </w:rPr>
              <w:t xml:space="preserve">V1</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FTL: 'Government bonds — V1. Required for investor path and governing budget system.' Bond yield calculation, auction mechanics, bond price relationship to fiscal deficit, and fiscal consequence cascade (deficit → bond pressure → credit rating → constraint) are all unspecified.</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7AE60"/>
                <w:sz w:val="17"/>
                <w:szCs w:val="17"/>
              </w:rPr>
              <w:t xml:space="preserve">M-07</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Immigration / Emigration</w:t>
            </w:r>
          </w:p>
        </w:tc>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7"/>
                <w:szCs w:val="17"/>
              </w:rPr>
              <w:t xml:space="preserve">V1</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Province demographics include population and age distribution, and the simulation runs 25+ years with economic inequality and social stability as drivers. No migration mechanic is specified despite demographic change being required for the simulation to be coherent over long time horizons.</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27AE60"/>
                <w:sz w:val="17"/>
                <w:szCs w:val="17"/>
              </w:rPr>
              <w:t xml:space="preserve">M-08</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NPC Scheduling / Calendar</w:t>
            </w:r>
          </w:p>
        </w:tc>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center"/>
            </w:pPr>
            <w:r>
              <w:rPr>
                <w:rFonts w:ascii="Arial" w:cs="Arial" w:eastAsia="Arial" w:hAnsi="Arial"/>
                <w:b w:val="false"/>
                <w:bCs w:val="false"/>
                <w:color w:val="1A1A1A"/>
                <w:sz w:val="17"/>
                <w:szCs w:val="17"/>
              </w:rPr>
              <w:t xml:space="preserve">V1</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FTL: 'NPC scheduling and calendar availability — V1.' GDD §4 describes scheduling friction (NPCs have their own calendars). No calendar data structure for NPCs, no availability slot model, and no conflict detection algorithm is specified. Required for player scheduling to have realistic friction.</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7AE60"/>
                <w:sz w:val="17"/>
                <w:szCs w:val="17"/>
              </w:rPr>
              <w:t xml:space="preserve">M-09</w:t>
            </w:r>
          </w:p>
        </w:tc>
        <w:tc>
          <w:tcPr>
            <w:tcW w:type="dxa" w:w="2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7"/>
                <w:szCs w:val="17"/>
              </w:rPr>
              <w:t xml:space="preserve">Save Game Schema Migration</w:t>
            </w:r>
          </w:p>
        </w:tc>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7"/>
                <w:szCs w:val="17"/>
              </w:rPr>
              <w:t xml:space="preserve">V1 (infra)</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TDD §2a specifies PackageManager::load_all() registers migrations if schema_version_bump &gt; 0, and PersistenceModule returns schema_too_new on downgrade. But the migration function interface, what constitutes a valid migration, and how field additions/removals are handled are unspecified.</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27AE60"/>
                <w:sz w:val="17"/>
                <w:szCs w:val="17"/>
              </w:rPr>
              <w:t xml:space="preserve">M-10</w:t>
            </w:r>
          </w:p>
        </w:tc>
        <w:tc>
          <w:tcPr>
            <w:tcW w:type="dxa" w:w="21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7"/>
                <w:szCs w:val="17"/>
              </w:rPr>
              <w:t xml:space="preserve">LOD 1 Nation Archetype Model</w:t>
            </w:r>
          </w:p>
        </w:tc>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center"/>
            </w:pPr>
            <w:r>
              <w:rPr>
                <w:rFonts w:ascii="Arial" w:cs="Arial" w:eastAsia="Arial" w:hAnsi="Arial"/>
                <w:b w:val="false"/>
                <w:bCs w:val="false"/>
                <w:color w:val="1A1A1A"/>
                <w:sz w:val="17"/>
                <w:szCs w:val="17"/>
              </w:rPr>
              <w:t xml:space="preserve">V1</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World Map &amp; Geography §1 says LOD 1 nations use 'archetype behavioral profiles' to drive national decisions (invest in manufacturing, raise tariffs, open trade routes). These archetypes are referenced but never defined — no profiles, no decision triggers, no behavioral parameters.</w:t>
            </w:r>
          </w:p>
        </w:tc>
      </w:tr>
    </w:tbl>
    <w:p>
      <w:r>
        <w:t xml:space="preserve"/>
      </w:r>
    </w:p>
    <w:p>
      <w:pPr>
        <w:pStyle w:val="Heading1"/>
        <w:pageBreakBefore/>
      </w:pPr>
      <w:r>
        <w:rPr>
          <w:rFonts w:ascii="Arial" w:cs="Arial" w:eastAsia="Arial" w:hAnsi="Arial"/>
          <w:b/>
          <w:bCs/>
          <w:color w:val="1A3A5C"/>
          <w:sz w:val="36"/>
          <w:szCs w:val="36"/>
        </w:rPr>
        <w:t xml:space="preserve">8. Critical Resolution Path</w:t>
      </w:r>
    </w:p>
    <w:p>
      <w:pPr>
        <w:pStyle w:val="Heading2"/>
      </w:pPr>
      <w:r>
        <w:rPr>
          <w:rFonts w:ascii="Arial" w:cs="Arial" w:eastAsia="Arial" w:hAnsi="Arial"/>
          <w:b/>
          <w:bCs/>
          <w:color w:val="1A3A5C"/>
          <w:sz w:val="26"/>
          <w:szCs w:val="26"/>
        </w:rPr>
        <w:t xml:space="preserve">8.1 Immediate (Before Any Code Generation)</w:t>
      </w:r>
    </w:p>
    <w:p>
      <w:pPr>
        <w:spacing w:after="120"/>
      </w:pPr>
      <w:r>
        <w:rPr>
          <w:rFonts w:ascii="Arial" w:cs="Arial" w:eastAsia="Arial" w:hAnsi="Arial"/>
          <w:b w:val="false"/>
          <w:bCs w:val="false"/>
          <w:color w:val="1A1A1A"/>
          <w:sz w:val="20"/>
          <w:szCs w:val="20"/>
        </w:rPr>
        <w:t xml:space="preserve">The following two blockers require immediate resolution because they affect test generation infrastructure and data convention throughout the entire simulation: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864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Action Required</w:t>
            </w:r>
          </w:p>
        </w:tc>
      </w:tr>
      <w:tr>
        <w:tc>
          <w:tcPr>
            <w:tcW w:type="dxa" w:w="72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pPr>
              <w:jc w:val="left"/>
            </w:pPr>
            <w:r>
              <w:rPr>
                <w:rFonts w:ascii="Arial" w:cs="Arial" w:eastAsia="Arial" w:hAnsi="Arial"/>
                <w:b/>
                <w:bCs/>
                <w:color w:val="C0392B"/>
                <w:sz w:val="18"/>
                <w:szCs w:val="18"/>
              </w:rPr>
              <w:t xml:space="preserve">B-01</w:t>
            </w:r>
          </w:p>
        </w:tc>
        <w:tc>
          <w:tcPr>
            <w:tcW w:type="dxa" w:w="864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Add a note to GDD §12.1 criminal entry conditions table: 'Threshold values are expressed in the 0–100 display index. Internal float evaluation: display_threshold = (internal_float + 1.0) / 2.0 × 100.' Update all condition thresholds to use a consistent scale designation.</w:t>
            </w:r>
          </w:p>
        </w:tc>
      </w:tr>
      <w:tr>
        <w:tc>
          <w:tcPr>
            <w:tcW w:type="dxa" w:w="72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pPr>
              <w:jc w:val="left"/>
            </w:pPr>
            <w:r>
              <w:rPr>
                <w:rFonts w:ascii="Arial" w:cs="Arial" w:eastAsia="Arial" w:hAnsi="Arial"/>
                <w:b/>
                <w:bCs/>
                <w:color w:val="C0392B"/>
                <w:sz w:val="18"/>
                <w:szCs w:val="18"/>
              </w:rPr>
              <w:t xml:space="preserve">B-02</w:t>
            </w:r>
          </w:p>
        </w:tc>
        <w:tc>
          <w:tcPr>
            <w:tcW w:type="dxa" w:w="864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Resolve whistleblower emotional_weight sign convention. TDD §4.5 specifies the canonical implementation (negative values, &lt; -0.6). GDD §6.8 must be updated to match: 'emotional_weight &lt; -0.6' not '&gt; 0.6'. This is a TDD-governs-GDD case.</w:t>
            </w:r>
          </w:p>
        </w:tc>
      </w:tr>
    </w:tbl>
    <w:p>
      <w:r>
        <w:t xml:space="preserve"/>
      </w:r>
    </w:p>
    <w:p>
      <w:pPr>
        <w:pStyle w:val="Heading2"/>
      </w:pPr>
      <w:r>
        <w:rPr>
          <w:rFonts w:ascii="Arial" w:cs="Arial" w:eastAsia="Arial" w:hAnsi="Arial"/>
          <w:b/>
          <w:bCs/>
          <w:color w:val="1A3A5C"/>
          <w:sz w:val="26"/>
          <w:szCs w:val="26"/>
        </w:rPr>
        <w:t xml:space="preserve">8.2 Before Prototype Phase (Architectural Primitives)</w:t>
      </w:r>
    </w:p>
    <w:p>
      <w:pPr>
        <w:spacing w:after="120"/>
      </w:pPr>
      <w:r>
        <w:rPr>
          <w:rFonts w:ascii="Arial" w:cs="Arial" w:eastAsia="Arial" w:hAnsi="Arial"/>
          <w:b w:val="false"/>
          <w:bCs w:val="false"/>
          <w:color w:val="1A1A1A"/>
          <w:sz w:val="20"/>
          <w:szCs w:val="20"/>
        </w:rPr>
        <w:t xml:space="preserve">These structs and systems are V1 architectural foundations. The prototype cannot be validated without them defined. Write TDD sections for each: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288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Struct/System</w:t>
            </w:r>
          </w:p>
        </w:tc>
        <w:tc>
          <w:tcPr>
            <w:tcW w:type="dxa" w:w="576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Minimum Required Fields</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8"/>
                <w:szCs w:val="18"/>
              </w:rPr>
              <w:t xml:space="preserve">B-13</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PlayerCharacter</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reputation{business,political,social,street}, exposure: Vec&lt;EvidenceTokenRef&gt;, obligations: ObligationGraph, skills: HashMap&lt;SkillDomain, f32&gt;, health: f32, age: u32, movement_follower_count: u32</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8"/>
                <w:szCs w:val="18"/>
              </w:rPr>
              <w:t xml:space="preserve">B-11</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EvidenceToken</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id: u32, type: EvidenceType{financial|testimonial|documentary|physical}, source_action: ActionRef, holder_npc_ids: Vec&lt;u32&gt;, location_id: Option&lt;u32&gt;, created_tick: u32, actionability: f32</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8"/>
                <w:szCs w:val="18"/>
              </w:rPr>
              <w:t xml:space="preserve">B-12</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ObligationNode</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creditor_id: u32, debtor_id: u32, favor_type: FavorType, created_tick: u32, demand_history: Vec&lt;DemandEntry&gt;, current_ask: Option&lt;Demand&gt;, escalation_level: u8</w:t>
            </w:r>
          </w:p>
        </w:tc>
      </w:tr>
      <w:tr>
        <w:tc>
          <w:tcPr>
            <w:tcW w:type="dxa" w:w="72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8"/>
                <w:szCs w:val="18"/>
              </w:rPr>
              <w:t xml:space="preserve">B-16</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RegionalMarket</w:t>
            </w:r>
          </w:p>
        </w:tc>
        <w:tc>
          <w:tcPr>
            <w:tcW w:type="dxa" w:w="576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province_id: u32, spot_prices: HashMap&lt;GoodKey, f32&gt;, supply_by_good: HashMap&lt;GoodKey, f32&gt;, derived_demand: HashMap&lt;GoodKey, f32&gt;, consumer_demand: HashMap&lt;GoodKey, f32&gt;, import_ceiling: HashMap&lt;GoodKey, f32&gt;, export_floor: HashMap&lt;GoodKey, f32&gt;</w:t>
            </w:r>
          </w:p>
        </w:tc>
      </w:tr>
      <w:tr>
        <w:tc>
          <w:tcPr>
            <w:tcW w:type="dxa" w:w="7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8"/>
                <w:szCs w:val="18"/>
              </w:rPr>
              <w:t xml:space="preserve">B-14</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CriminalOrganization</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id: u32, org_type: OrgType{street_gang|syndicate|cartel|transnational_network}, territory_province_ids: Vec&lt;u32&gt;, member_npc_ids: Vec&lt;u32&gt;, revenue_sources: Vec&lt;CriminalActivity&gt;, corruption_nodes: Vec&lt;CorruptionRef&gt;</w:t>
            </w:r>
          </w:p>
        </w:tc>
      </w:tr>
    </w:tbl>
    <w:p>
      <w:r>
        <w:t xml:space="preserve"/>
      </w:r>
    </w:p>
    <w:p>
      <w:pPr>
        <w:pStyle w:val="Heading2"/>
      </w:pPr>
      <w:r>
        <w:rPr>
          <w:rFonts w:ascii="Arial" w:cs="Arial" w:eastAsia="Arial" w:hAnsi="Arial"/>
          <w:b/>
          <w:bCs/>
          <w:color w:val="1A3A5C"/>
          <w:sz w:val="26"/>
          <w:szCs w:val="26"/>
        </w:rPr>
        <w:t xml:space="preserve">8.3 Recommended Document Normalization Pass</w:t>
      </w:r>
    </w:p>
    <w:p>
      <w:pPr>
        <w:spacing w:after="120"/>
      </w:pPr>
      <w:r>
        <w:rPr>
          <w:rFonts w:ascii="Arial" w:cs="Arial" w:eastAsia="Arial" w:hAnsi="Arial"/>
          <w:b w:val="false"/>
          <w:bCs w:val="false"/>
          <w:color w:val="1A1A1A"/>
          <w:sz w:val="20"/>
          <w:szCs w:val="20"/>
        </w:rPr>
        <w:t xml:space="preserve">A single normalization pass should address all stale version references and missing expansion markers:</w:t>
      </w:r>
    </w:p>
    <w:p>
      <w:r>
        <w:t xml:space="preserve"/>
      </w:r>
    </w:p>
    <w:p>
      <w:pPr>
        <w:pStyle w:val="ListParagraph"/>
        <w:numPr>
          <w:ilvl w:val="0"/>
          <w:numId w:val="2"/>
        </w:numPr>
      </w:pPr>
      <w:r>
        <w:rPr>
          <w:rFonts w:ascii="Arial" w:cs="Arial" w:eastAsia="Arial" w:hAnsi="Arial"/>
          <w:sz w:val="19"/>
          <w:szCs w:val="19"/>
        </w:rPr>
        <w:t xml:space="preserve">GDD v1.2 §18.4: Add '[EXPANSION — Criminal Sovereign is post-launch scope per Feature Tier List.]' marker.</w:t>
      </w:r>
    </w:p>
    <w:p>
      <w:pPr>
        <w:pStyle w:val="ListParagraph"/>
        <w:numPr>
          <w:ilvl w:val="0"/>
          <w:numId w:val="2"/>
        </w:numPr>
      </w:pPr>
      <w:r>
        <w:rPr>
          <w:rFonts w:ascii="Arial" w:cs="Arial" w:eastAsia="Arial" w:hAnsi="Arial"/>
          <w:sz w:val="19"/>
          <w:szCs w:val="19"/>
        </w:rPr>
        <w:t xml:space="preserve">GDD v1.2 §16: Add '[EXPANSION — Social media dynamics and media outlet ownership are post-launch scope per Feature Tier List.]' markers to the relevant subsections.</w:t>
      </w:r>
    </w:p>
    <w:p>
      <w:pPr>
        <w:pStyle w:val="ListParagraph"/>
        <w:numPr>
          <w:ilvl w:val="0"/>
          <w:numId w:val="2"/>
        </w:numPr>
      </w:pPr>
      <w:r>
        <w:rPr>
          <w:rFonts w:ascii="Arial" w:cs="Arial" w:eastAsia="Arial" w:hAnsi="Arial"/>
          <w:sz w:val="19"/>
          <w:szCs w:val="19"/>
        </w:rPr>
        <w:t xml:space="preserve">GDD v1.2 §12.1 table: Add [EXPANSION] row designation to 'Illegal weapons trade' OR remove from criminal entry conditions and add note that it is EX per Feature Tier List.</w:t>
      </w:r>
    </w:p>
    <w:p>
      <w:pPr>
        <w:pStyle w:val="ListParagraph"/>
        <w:numPr>
          <w:ilvl w:val="0"/>
          <w:numId w:val="2"/>
        </w:numPr>
      </w:pPr>
      <w:r>
        <w:rPr>
          <w:rFonts w:ascii="Arial" w:cs="Arial" w:eastAsia="Arial" w:hAnsi="Arial"/>
          <w:sz w:val="19"/>
          <w:szCs w:val="19"/>
        </w:rPr>
        <w:t xml:space="preserve">AI Development Plan and 99% Experiment: Update all references from GDD v0.9 to GDD v1.2 and from TDD (unversioned) to TDD v17.</w:t>
      </w:r>
    </w:p>
    <w:p>
      <w:pPr>
        <w:pStyle w:val="ListParagraph"/>
        <w:numPr>
          <w:ilvl w:val="0"/>
          <w:numId w:val="2"/>
        </w:numPr>
      </w:pPr>
      <w:r>
        <w:rPr>
          <w:rFonts w:ascii="Arial" w:cs="Arial" w:eastAsia="Arial" w:hAnsi="Arial"/>
          <w:sz w:val="19"/>
          <w:szCs w:val="19"/>
        </w:rPr>
        <w:t xml:space="preserve">World Map &amp; Geography v1.1: Update header reference from TDD v5 to TDD v17.</w:t>
      </w:r>
    </w:p>
    <w:p>
      <w:pPr>
        <w:pStyle w:val="ListParagraph"/>
        <w:numPr>
          <w:ilvl w:val="0"/>
          <w:numId w:val="2"/>
        </w:numPr>
      </w:pPr>
      <w:r>
        <w:rPr>
          <w:rFonts w:ascii="Arial" w:cs="Arial" w:eastAsia="Arial" w:hAnsi="Arial"/>
          <w:sz w:val="19"/>
          <w:szCs w:val="19"/>
        </w:rPr>
        <w:t xml:space="preserve">R&amp;D &amp; Technology v2.1: Update header reference from TDD v16 to TDD v17.</w:t>
      </w:r>
    </w:p>
    <w:p>
      <w:pPr>
        <w:pStyle w:val="ListParagraph"/>
        <w:numPr>
          <w:ilvl w:val="0"/>
          <w:numId w:val="2"/>
        </w:numPr>
      </w:pPr>
      <w:r>
        <w:rPr>
          <w:rFonts w:ascii="Arial" w:cs="Arial" w:eastAsia="Arial" w:hAnsi="Arial"/>
          <w:sz w:val="19"/>
          <w:szCs w:val="19"/>
        </w:rPr>
        <w:t xml:space="preserve">WorldGen v0.16: Update header reference from TDD v16 to TDD v17.</w:t>
      </w:r>
    </w:p>
    <w:p>
      <w:pPr>
        <w:pStyle w:val="ListParagraph"/>
        <w:numPr>
          <w:ilvl w:val="0"/>
          <w:numId w:val="2"/>
        </w:numPr>
      </w:pPr>
      <w:r>
        <w:rPr>
          <w:rFonts w:ascii="Arial" w:cs="Arial" w:eastAsia="Arial" w:hAnsi="Arial"/>
          <w:sz w:val="19"/>
          <w:szCs w:val="19"/>
        </w:rPr>
        <w:t xml:space="preserve">tech_lifecycle_spec.md: Rename 'three-stage lifecycle' to 'two-stage discrete + continuous maturation model' throughout, or add a third TechStage::matured enum value with a note that maturation is also ongoing after matured is reached.</w:t>
      </w:r>
    </w:p>
    <w:p>
      <w:r>
        <w:t xml:space="preserve"/>
      </w:r>
    </w:p>
    <w:p>
      <w:pPr>
        <w:pStyle w:val="Heading1"/>
        <w:pageBreakBefore/>
      </w:pPr>
      <w:r>
        <w:rPr>
          <w:rFonts w:ascii="Arial" w:cs="Arial" w:eastAsia="Arial" w:hAnsi="Arial"/>
          <w:b/>
          <w:bCs/>
          <w:color w:val="1A3A5C"/>
          <w:sz w:val="36"/>
          <w:szCs w:val="36"/>
        </w:rPr>
        <w:t xml:space="preserve">Appendix A — Section Coverage Map</w:t>
      </w:r>
    </w:p>
    <w:p>
      <w:pPr>
        <w:spacing w:after="120"/>
      </w:pPr>
      <w:r>
        <w:rPr>
          <w:rFonts w:ascii="Arial" w:cs="Arial" w:eastAsia="Arial" w:hAnsi="Arial"/>
          <w:b w:val="false"/>
          <w:bCs w:val="false"/>
          <w:color w:val="1A1A1A"/>
          <w:sz w:val="20"/>
          <w:szCs w:val="20"/>
        </w:rPr>
        <w:t xml:space="preserve">Each GDD section's audit status — whether a corresponding TDD spec exists for its V1 systems: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440"/>
        <w:gridCol w:w="3600"/>
      </w:tblGrid>
      <w:tr>
        <w:trPr>
          <w:tblHeader/>
        </w:trPr>
        <w:tc>
          <w:tcPr>
            <w:tcW w:type="dxa" w:w="144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GDD Section</w:t>
            </w:r>
          </w:p>
        </w:tc>
        <w:tc>
          <w:tcPr>
            <w:tcW w:type="dxa" w:w="288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System</w:t>
            </w:r>
          </w:p>
        </w:tc>
        <w:tc>
          <w:tcPr>
            <w:tcW w:type="dxa" w:w="144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TDD Status</w:t>
            </w:r>
          </w:p>
        </w:tc>
        <w:tc>
          <w:tcPr>
            <w:tcW w:type="dxa" w:w="36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Notes</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§3 NPC Architecture</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NPC struct, Memory, Relationships</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7AE60"/>
                <w:sz w:val="17"/>
                <w:szCs w:val="17"/>
              </w:rPr>
              <w:t xml:space="preserve">SPECIFIED</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TDD §4 complete</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§4 Player Identity</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PlayerCharacter struct</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B-13: struct undefined</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§6.8 Workforce Mgmt</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Worker satisfaction, whistleblower</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E67E22"/>
                <w:sz w:val="17"/>
                <w:szCs w:val="17"/>
              </w:rPr>
              <w:t xml:space="preserve">MOSTLY SPECIFIED</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B-02: sign convention conflict</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§8.2 Economy Model</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RegionalMarket, equilibrium price</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E67E22"/>
                <w:sz w:val="17"/>
                <w:szCs w:val="17"/>
              </w:rPr>
              <w:t xml:space="preserve">PARTIAL</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B-16: struct undefined</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§8.2 Economy Model</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Consumer demand model</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B-03: no specification</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§8.7 NPC Businesses</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Behavioral decision matrix</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B-04: promised but absent</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§9.1 R&amp;D</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RnD project, TechHolding, maturation</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7AE60"/>
                <w:sz w:val="17"/>
                <w:szCs w:val="17"/>
              </w:rPr>
              <w:t xml:space="preserve">SPECIFIED</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tech_lifecycle_spec complete; P-01/P-02 precision gaps</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§10.2 Evidence Trail</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EvidenceToken, KnowledgeMap</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B-11: structs undefined</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§10.4 Obligations</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ObligationNode, network</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B-12: struct undefined</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§10.6 Legal Process</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State machine, trial outcome</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B-09: state machine undefined</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§12.1 Criminal Entry</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Entry conditions evaluation</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E67E22"/>
                <w:sz w:val="17"/>
                <w:szCs w:val="17"/>
              </w:rPr>
              <w:t xml:space="preserve">PARTIAL</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B-01: scale mismatch</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§12.2 Drug Economy</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Supply chain, production</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E67E22"/>
                <w:sz w:val="17"/>
                <w:szCs w:val="17"/>
              </w:rPr>
              <w:t xml:space="preserve">DESCRIPTIVE</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No additional struct gaps beyond economy model</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§12.5 Money Laundering</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FIU pattern analysis</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B-10: detection mechanics undefined</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§12.6 OPSEC</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Detection algorithm</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B-06: algorithm undefined</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§12.7 Org Structure</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CriminalOrganization struct</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B-14: struct undefined</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§13 Influence</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InfluenceNetwork data structure</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B-05: no struct</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§15 Political System</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Election resolution formula</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B-18: formula undefined</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§16 Social Systems</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Background cohort model</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B-07: cohort undefined</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§16 Media System</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Story propagation, outlets</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E67E22"/>
                <w:sz w:val="17"/>
                <w:szCs w:val="17"/>
              </w:rPr>
              <w:t xml:space="preserve">DESCRIPTIVE</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I-02: outlet ownership EX boundary</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§17 Random Events</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Event system, probability model</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B-15: no spec</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§20 UI/UX</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Scene card system</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C0392B"/>
                <w:sz w:val="17"/>
                <w:szCs w:val="17"/>
              </w:rPr>
              <w:t xml:space="preserve">MISSING</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B-08: no technical spec</w:t>
            </w:r>
          </w:p>
        </w:tc>
      </w:tr>
      <w:tr>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§21 Tick</w:t>
            </w:r>
          </w:p>
        </w:tc>
        <w:tc>
          <w:tcPr>
            <w:tcW w:type="dxa" w:w="288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27-step tick architecture</w:t>
            </w:r>
          </w:p>
        </w:tc>
        <w:tc>
          <w:tcPr>
            <w:tcW w:type="dxa" w:w="144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bCs/>
                <w:color w:val="27AE60"/>
                <w:sz w:val="17"/>
                <w:szCs w:val="17"/>
              </w:rPr>
              <w:t xml:space="preserve">SPECIFIED</w:t>
            </w:r>
          </w:p>
        </w:tc>
        <w:tc>
          <w:tcPr>
            <w:tcW w:type="dxa" w:w="3600"/>
            <w:tcBorders>
              <w:top w:val="single" w:color="BDC3C7" w:sz="1"/>
              <w:left w:val="single" w:color="BDC3C7" w:sz="1"/>
              <w:bottom w:val="single" w:color="BDC3C7" w:sz="1"/>
              <w:right w:val="single" w:color="BDC3C7" w:sz="1"/>
            </w:tcBorders>
            <w:shd w:fill="F2F6FC"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TDD §3 complete</w:t>
            </w:r>
          </w:p>
        </w:tc>
      </w:tr>
      <w:tr>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§21 Persistence</w:t>
            </w:r>
          </w:p>
        </w:tc>
        <w:tc>
          <w:tcPr>
            <w:tcW w:type="dxa" w:w="28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Save/restore, WAL</w:t>
            </w:r>
          </w:p>
        </w:tc>
        <w:tc>
          <w:tcPr>
            <w:tcW w:type="dxa" w:w="14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bCs/>
                <w:color w:val="27AE60"/>
                <w:sz w:val="17"/>
                <w:szCs w:val="17"/>
              </w:rPr>
              <w:t xml:space="preserve">SPECIFIED</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6"/>
                <w:szCs w:val="16"/>
              </w:rPr>
              <w:t xml:space="preserve">TDD §22 referenced</w:t>
            </w:r>
          </w:p>
        </w:tc>
      </w:tr>
    </w:tbl>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jc w:val="right"/>
    </w:pPr>
    <w:r>
      <w:rPr>
        <w:rFonts w:ascii="Arial" w:cs="Arial" w:eastAsia="Arial" w:hAnsi="Arial"/>
        <w:color w:val="1A3A5C"/>
        <w:sz w:val="16"/>
        <w:szCs w:val="16"/>
      </w:rPr>
      <w:t xml:space="preserve">EconLife Documentation Audit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2026-03-08T08:44:18.156Z</dcterms:created>
  <dcterms:modified xsi:type="dcterms:W3CDTF">2026-03-08T08:44:18.156Z</dcterms:modified>
</cp:coreProperties>
</file>

<file path=docProps/custom.xml><?xml version="1.0" encoding="utf-8"?>
<Properties xmlns="http://schemas.openxmlformats.org/officeDocument/2006/custom-properties" xmlns:vt="http://schemas.openxmlformats.org/officeDocument/2006/docPropsVTypes"/>
</file>