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ptos" w:hAnsi="Aptos"/>
          <w:b/>
          <w:sz w:val="48"/>
        </w:rPr>
        <w:t>Funder Dashboard Manual</w:t>
      </w:r>
    </w:p>
    <w:p>
      <w:pPr>
        <w:jc w:val="center"/>
      </w:pPr>
      <w:r>
        <w:rPr>
          <w:rFonts w:ascii="Aptos" w:hAnsi="Aptos"/>
          <w:sz w:val="24"/>
        </w:rPr>
        <w:t>Audience: `Funder` users</w:t>
      </w:r>
    </w:p>
    <w:p>
      <w:pPr>
        <w:jc w:val="center"/>
      </w:pPr>
      <w:r>
        <w:rPr>
          <w:rFonts w:ascii="Aptos" w:hAnsi="Aptos"/>
          <w:sz w:val="22"/>
        </w:rPr>
        <w:t>Generated: RPL-KPIs</w:t>
      </w:r>
    </w:p>
    <w:p>
      <w:pPr>
        <w:jc w:val="center"/>
      </w:pPr>
      <w:r>
        <w:rPr>
          <w:rFonts w:ascii="Aptos" w:hAnsi="Aptos"/>
          <w:sz w:val="22"/>
        </w:rPr>
        <w:t>Mind Over Mountains Dashboard Guide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 TOC \o "1-3" \h \z \u </w:instrText>
        <w:fldChar w:fldCharType="separate"/>
        <w:fldChar w:fldCharType="end"/>
      </w:r>
    </w:p>
    <w:p>
      <w:pPr>
        <w:jc w:val="left"/>
      </w:pPr>
      <w:r>
        <w:rPr>
          <w:i/>
          <w:sz w:val="20"/>
        </w:rPr>
        <w:t>Update the table in Word if entries do not appear immediately.</w:t>
      </w:r>
    </w:p>
    <w:p>
      <w:r>
        <w:br w:type="page"/>
      </w:r>
    </w:p>
    <w:p>
      <w:pPr>
        <w:pStyle w:val="Title"/>
      </w:pPr>
      <w:r>
        <w:t>Funder Dashboard Manual</w:t>
      </w:r>
    </w:p>
    <w:p/>
    <w:p>
      <w:r>
        <w:t xml:space="preserve">Audience: </w:t>
      </w:r>
      <w:r>
        <w:rPr>
          <w:rFonts w:ascii="Consolas" w:hAnsi="Consolas"/>
        </w:rPr>
        <w:t>Funder</w:t>
      </w:r>
      <w:r>
        <w:t xml:space="preserve"> users</w:t>
      </w:r>
    </w:p>
    <w:p>
      <w:r>
        <w:t>Scope: safe, high-level funding and delivery summary information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der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Introduction</w:t>
      </w:r>
    </w:p>
    <w:p>
      <w:r>
        <w:t>This manual explains how funder users should use the dashboard.</w:t>
      </w:r>
    </w:p>
    <w:p/>
    <w:p>
      <w:r>
        <w:t xml:space="preserve">The </w:t>
      </w:r>
      <w:r>
        <w:rPr>
          <w:rFonts w:ascii="Consolas" w:hAnsi="Consolas"/>
        </w:rPr>
        <w:t>Funder</w:t>
      </w:r>
      <w:r>
        <w:t xml:space="preserve"> role is designed to provide a safe, clear summary view without exposing operational or personal detail.</w:t>
      </w:r>
    </w:p>
    <w:p/>
    <w:p>
      <w:r>
        <w:t>Funder users can open:</w:t>
      </w:r>
    </w:p>
    <w:p/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/>
    <w:p>
      <w:r>
        <w:t>Funder users cannot open: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r>
        <w:t>This role is intentionally limited. It is designed for high-level review rather than investigation.</w:t>
      </w:r>
    </w:p>
    <w:p/>
    <w:p>
      <w:pPr>
        <w:pStyle w:val="Heading1"/>
      </w:pPr>
      <w:r>
        <w:t>2. What the Funder Dashboard is for</w:t>
      </w:r>
    </w:p>
    <w:p>
      <w:r>
        <w:t>Use this dashboard when you want to answer questions such as:</w:t>
      </w:r>
    </w:p>
    <w:p/>
    <w:p>
      <w:pPr>
        <w:pStyle w:val="ManualBullet"/>
      </w:pPr>
      <w:r>
        <w:t>how many bids have been submitted</w:t>
      </w:r>
    </w:p>
    <w:p>
      <w:pPr>
        <w:pStyle w:val="ManualBullet"/>
      </w:pPr>
      <w:r>
        <w:t>how much funding has been raised</w:t>
      </w:r>
    </w:p>
    <w:p>
      <w:pPr>
        <w:pStyle w:val="ManualBullet"/>
      </w:pPr>
      <w:r>
        <w:t>how funding is changing over time</w:t>
      </w:r>
    </w:p>
    <w:p>
      <w:pPr>
        <w:pStyle w:val="ManualBullet"/>
      </w:pPr>
      <w:r>
        <w:t>whether the dashboard has refreshed recently enough to rely on</w:t>
      </w:r>
    </w:p>
    <w:p/>
    <w:p>
      <w:r>
        <w:t>This view is designed to be readable, safe, and appropriate for restricted or external-facing use.</w:t>
      </w:r>
    </w:p>
    <w:p/>
    <w:p>
      <w:pPr>
        <w:pStyle w:val="Heading1"/>
      </w:pPr>
      <w:r>
        <w:t>3. Signing in and first checks</w:t>
      </w:r>
    </w:p>
    <w:p>
      <w:r>
        <w:t>When you sign in:</w:t>
      </w:r>
    </w:p>
    <w:p/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Change your password if prompted.</w:t>
      </w:r>
    </w:p>
    <w:p>
      <w:pPr>
        <w:pStyle w:val="ManualNumber"/>
      </w:pPr>
      <w:r>
        <w:t>Confirm the timeframe you want to review.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the figures.</w:t>
      </w:r>
    </w:p>
    <w:p/>
    <w:p>
      <w:r>
        <w:t>The refresh time matters. A number may be correct but still not current enough for your meeting or report.</w:t>
      </w:r>
    </w:p>
    <w:p/>
    <w:p>
      <w:pPr>
        <w:pStyle w:val="Heading1"/>
      </w:pPr>
      <w:r>
        <w:t>4. What you will see</w:t>
      </w:r>
    </w:p>
    <w:p>
      <w:r>
        <w:t xml:space="preserve">The </w:t>
      </w:r>
      <w:r>
        <w:rPr>
          <w:rFonts w:ascii="Consolas" w:hAnsi="Consolas"/>
        </w:rPr>
        <w:t>Funder Dashboard</w:t>
      </w:r>
      <w:r>
        <w:t xml:space="preserve"> usually includes:</w:t>
      </w:r>
    </w:p>
    <w:p/>
    <w:p>
      <w:pPr>
        <w:pStyle w:val="ManualBullet"/>
      </w:pPr>
      <w:r>
        <w:t>summary metric cards</w:t>
      </w:r>
    </w:p>
    <w:p>
      <w:pPr>
        <w:pStyle w:val="ManualBullet"/>
      </w:pPr>
      <w:r>
        <w:t>bid totals</w:t>
      </w:r>
    </w:p>
    <w:p>
      <w:pPr>
        <w:pStyle w:val="ManualBullet"/>
      </w:pPr>
      <w:r>
        <w:t>funding totals</w:t>
      </w:r>
    </w:p>
    <w:p>
      <w:pPr>
        <w:pStyle w:val="ManualBullet"/>
      </w:pPr>
      <w:r>
        <w:t>a trend view over time</w:t>
      </w:r>
    </w:p>
    <w:p>
      <w:pPr>
        <w:pStyle w:val="ManualBullet"/>
      </w:pPr>
      <w:r>
        <w:t>a refresh timestamp</w:t>
      </w:r>
    </w:p>
    <w:p/>
    <w:p>
      <w:r>
        <w:t>It does not include:</w:t>
      </w:r>
    </w:p>
    <w:p/>
    <w:p>
      <w:pPr>
        <w:pStyle w:val="ManualBullet"/>
      </w:pPr>
      <w:r>
        <w:t>personal data</w:t>
      </w:r>
    </w:p>
    <w:p>
      <w:pPr>
        <w:pStyle w:val="ManualBullet"/>
      </w:pPr>
      <w:r>
        <w:t>participant-level records</w:t>
      </w:r>
    </w:p>
    <w:p>
      <w:pPr>
        <w:pStyle w:val="ManualBullet"/>
      </w:pPr>
      <w:r>
        <w:t>detailed event records</w:t>
      </w:r>
    </w:p>
    <w:p>
      <w:pPr>
        <w:pStyle w:val="ManualBullet"/>
      </w:pPr>
      <w:r>
        <w:t>operational drill-down</w:t>
      </w:r>
    </w:p>
    <w:p>
      <w:pPr>
        <w:pStyle w:val="ManualBullet"/>
      </w:pPr>
      <w:r>
        <w:t>custom reporting tools</w:t>
      </w:r>
    </w:p>
    <w:p/>
    <w:p>
      <w:r>
        <w:t>If you need more detail than this view provides, request a managed report from the organisation rather than expecting to find that detail in the dashboard.</w:t>
      </w:r>
    </w:p>
    <w:p/>
    <w:p>
      <w:pPr>
        <w:pStyle w:val="Heading1"/>
      </w:pPr>
      <w:r>
        <w:t>5. Privacy and access</w:t>
      </w:r>
    </w:p>
    <w:p>
      <w:r>
        <w:t xml:space="preserve">The </w:t>
      </w:r>
      <w:r>
        <w:rPr>
          <w:rFonts w:ascii="Consolas" w:hAnsi="Consolas"/>
        </w:rPr>
        <w:t>Funder</w:t>
      </w:r>
      <w:r>
        <w:t xml:space="preserve"> role is intentionally restricted.</w:t>
      </w:r>
    </w:p>
    <w:p/>
    <w:p>
      <w:r>
        <w:t>This usually means:</w:t>
      </w:r>
    </w:p>
    <w:p/>
    <w:p>
      <w:pPr>
        <w:pStyle w:val="ManualBullet"/>
      </w:pPr>
      <w:r>
        <w:t xml:space="preserve">region is fixed to a high-level context such as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t>operational screens are hidden</w:t>
      </w:r>
    </w:p>
    <w:p>
      <w:pPr>
        <w:pStyle w:val="ManualBullet"/>
      </w:pPr>
      <w:r>
        <w:t>personal data is never shown</w:t>
      </w:r>
    </w:p>
    <w:p/>
    <w:p>
      <w:r>
        <w:t>These limits are not an error. They are part of how the role is designed.</w:t>
      </w:r>
    </w:p>
    <w:p/>
    <w:p>
      <w:pPr>
        <w:pStyle w:val="Heading1"/>
      </w:pPr>
      <w:r>
        <w:t>6. Filters</w:t>
      </w:r>
    </w:p>
    <w:p>
      <w:r>
        <w:t>Funder users have limited controls by design.</w:t>
      </w:r>
    </w:p>
    <w:p/>
    <w:p>
      <w:pPr>
        <w:pStyle w:val="Heading2"/>
      </w:pPr>
      <w:r>
        <w:t>6.1 What you can change</w:t>
      </w:r>
    </w:p>
    <w:p>
      <w:r>
        <w:t>You can usually change:</w:t>
      </w:r>
    </w:p>
    <w:p/>
    <w:p>
      <w:pPr>
        <w:pStyle w:val="ManualBullet"/>
      </w:pPr>
      <w:r>
        <w:t>timeframe</w:t>
      </w:r>
    </w:p>
    <w:p/>
    <w:p>
      <w:pPr>
        <w:pStyle w:val="Heading2"/>
      </w:pPr>
      <w:r>
        <w:t>6.2 What you cannot change</w:t>
      </w:r>
    </w:p>
    <w:p>
      <w:r>
        <w:t>You normally cannot change:</w:t>
      </w:r>
    </w:p>
    <w:p/>
    <w:p>
      <w:pPr>
        <w:pStyle w:val="ManualBullet"/>
      </w:pPr>
      <w:r>
        <w:t>region</w:t>
      </w:r>
    </w:p>
    <w:p>
      <w:pPr>
        <w:pStyle w:val="ManualBullet"/>
      </w:pPr>
      <w:r>
        <w:t>user settings</w:t>
      </w:r>
    </w:p>
    <w:p>
      <w:pPr>
        <w:pStyle w:val="ManualBullet"/>
      </w:pPr>
      <w:r>
        <w:t>operational access</w:t>
      </w:r>
    </w:p>
    <w:p>
      <w:pPr>
        <w:pStyle w:val="ManualBullet"/>
      </w:pPr>
      <w:r>
        <w:t>detailed report structure</w:t>
      </w:r>
    </w:p>
    <w:p/>
    <w:p>
      <w:r>
        <w:t>Typical timeframe options include: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pPr>
        <w:pStyle w:val="Heading1"/>
      </w:pPr>
      <w:r>
        <w:t>7. Reading the dashboard</w:t>
      </w:r>
    </w:p>
    <w:p>
      <w:pPr>
        <w:pStyle w:val="Heading2"/>
      </w:pPr>
      <w:r>
        <w:t>7.1 Headline cards</w:t>
      </w:r>
    </w:p>
    <w:p>
      <w:r>
        <w:t>The top cards usually show:</w:t>
      </w:r>
    </w:p>
    <w:p/>
    <w:p>
      <w:pPr>
        <w:pStyle w:val="ManualBullet"/>
      </w:pPr>
      <w:r>
        <w:rPr>
          <w:rFonts w:ascii="Consolas" w:hAnsi="Consolas"/>
        </w:rPr>
        <w:t>Bids Submitted</w:t>
      </w:r>
    </w:p>
    <w:p>
      <w:pPr>
        <w:pStyle w:val="ManualBullet"/>
      </w:pPr>
      <w:r>
        <w:rPr>
          <w:rFonts w:ascii="Consolas" w:hAnsi="Consolas"/>
        </w:rPr>
        <w:t>Total Funds Raised</w:t>
      </w:r>
    </w:p>
    <w:p/>
    <w:p>
      <w:r>
        <w:t>Use these cards when you need a quick factual statement such as:</w:t>
      </w:r>
    </w:p>
    <w:p/>
    <w:p>
      <w:pPr>
        <w:pStyle w:val="ManualBullet"/>
      </w:pPr>
      <w:r>
        <w:t>how many bids were submitted in the selected period</w:t>
      </w:r>
    </w:p>
    <w:p>
      <w:pPr>
        <w:pStyle w:val="ManualBullet"/>
      </w:pPr>
      <w:r>
        <w:t>how much funding was raised in the selected period</w:t>
      </w:r>
    </w:p>
    <w:p/>
    <w:p>
      <w:r>
        <w:t>Always check the timeframe before quoting either value.</w:t>
      </w:r>
    </w:p>
    <w:p/>
    <w:p>
      <w:pPr>
        <w:pStyle w:val="Heading2"/>
      </w:pPr>
      <w:r>
        <w:t>7.2 Trend view</w:t>
      </w:r>
    </w:p>
    <w:p>
      <w:r>
        <w:t>The trend view helps you understand whether activity is:</w:t>
      </w:r>
    </w:p>
    <w:p/>
    <w:p>
      <w:pPr>
        <w:pStyle w:val="ManualBullet"/>
      </w:pPr>
      <w:r>
        <w:t>steady</w:t>
      </w:r>
    </w:p>
    <w:p>
      <w:pPr>
        <w:pStyle w:val="ManualBullet"/>
      </w:pPr>
      <w:r>
        <w:t>seasonal</w:t>
      </w:r>
    </w:p>
    <w:p>
      <w:pPr>
        <w:pStyle w:val="ManualBullet"/>
      </w:pPr>
      <w:r>
        <w:t>concentrated in particular periods</w:t>
      </w:r>
    </w:p>
    <w:p/>
    <w:p>
      <w:r>
        <w:t xml:space="preserve">Use it to compare a recent period with a wider one. For example, look at </w:t>
      </w:r>
      <w:r>
        <w:rPr>
          <w:rFonts w:ascii="Consolas" w:hAnsi="Consolas"/>
        </w:rPr>
        <w:t>All Time</w:t>
      </w:r>
      <w:r>
        <w:t xml:space="preserve"> first, then narrow to </w:t>
      </w:r>
      <w:r>
        <w:rPr>
          <w:rFonts w:ascii="Consolas" w:hAnsi="Consolas"/>
        </w:rPr>
        <w:t>Year</w:t>
      </w:r>
      <w:r>
        <w:t xml:space="preserve"> or </w:t>
      </w:r>
      <w:r>
        <w:rPr>
          <w:rFonts w:ascii="Consolas" w:hAnsi="Consolas"/>
        </w:rPr>
        <w:t>Quarter</w:t>
      </w:r>
      <w:r>
        <w:t>.</w:t>
      </w:r>
    </w:p>
    <w:p/>
    <w:p>
      <w:pPr>
        <w:pStyle w:val="Heading2"/>
      </w:pPr>
      <w:r>
        <w:t>7.3 Last Data Refresh</w:t>
      </w:r>
    </w:p>
    <w:p>
      <w:r>
        <w:t>Always check the refresh time before using the dashboard in:</w:t>
      </w:r>
    </w:p>
    <w:p/>
    <w:p>
      <w:pPr>
        <w:pStyle w:val="ManualBullet"/>
      </w:pPr>
      <w:r>
        <w:t>a report</w:t>
      </w:r>
    </w:p>
    <w:p>
      <w:pPr>
        <w:pStyle w:val="ManualBullet"/>
      </w:pPr>
      <w:r>
        <w:t>a review meeting</w:t>
      </w:r>
    </w:p>
    <w:p>
      <w:pPr>
        <w:pStyle w:val="ManualBullet"/>
      </w:pPr>
      <w:r>
        <w:t>a funder update</w:t>
      </w:r>
    </w:p>
    <w:p>
      <w:pPr>
        <w:pStyle w:val="ManualBullet"/>
      </w:pPr>
      <w:r>
        <w:t>a presentation</w:t>
      </w:r>
    </w:p>
    <w:p/>
    <w:p>
      <w:r>
        <w:t>If the refresh date looks too old, contact the dashboard administrator rather than relying on stale figures.</w:t>
      </w:r>
    </w:p>
    <w:p/>
    <w:p>
      <w:pPr>
        <w:pStyle w:val="Heading1"/>
      </w:pPr>
      <w:r>
        <w:t>8. Step-by-step workflows</w:t>
      </w:r>
    </w:p>
    <w:p>
      <w:pPr>
        <w:pStyle w:val="Heading2"/>
      </w:pPr>
      <w:r>
        <w:t>8.1 Prepare for a review meeting</w:t>
      </w:r>
    </w:p>
    <w:p>
      <w:pPr>
        <w:pStyle w:val="ManualNumber"/>
      </w:pPr>
      <w:r>
        <w:t>Open the dashboard.</w:t>
      </w:r>
    </w:p>
    <w:p>
      <w:pPr>
        <w:pStyle w:val="ManualNumber"/>
      </w:pPr>
      <w:r>
        <w:t>Set the timeframe for the period you care about.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Bids Submitted</w:t>
      </w:r>
      <w:r>
        <w:t>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Total Funds Raised</w:t>
      </w:r>
      <w:r>
        <w:t>.</w:t>
      </w:r>
    </w:p>
    <w:p>
      <w:pPr>
        <w:pStyle w:val="ManualNumber"/>
      </w:pPr>
      <w:r>
        <w:t>Review the trend view.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>Note the figures only after confirming the timeframe and refresh point.</w:t>
      </w:r>
    </w:p>
    <w:p/>
    <w:p>
      <w:pPr>
        <w:pStyle w:val="Heading2"/>
      </w:pPr>
      <w:r>
        <w:t>8.2 Compare recent activity with a wider period</w:t>
      </w:r>
    </w:p>
    <w:p>
      <w:pPr>
        <w:pStyle w:val="ManualNumber"/>
      </w:pPr>
      <w:r>
        <w:t xml:space="preserve">Start with </w:t>
      </w:r>
      <w:r>
        <w:rPr>
          <w:rFonts w:ascii="Consolas" w:hAnsi="Consolas"/>
        </w:rPr>
        <w:t>All Time</w:t>
      </w:r>
      <w:r>
        <w:t>.</w:t>
      </w:r>
    </w:p>
    <w:p>
      <w:pPr>
        <w:pStyle w:val="ManualNumber"/>
      </w:pPr>
      <w:r>
        <w:t>Review the overall pattern.</w:t>
      </w:r>
    </w:p>
    <w:p>
      <w:pPr>
        <w:pStyle w:val="ManualNumber"/>
      </w:pPr>
      <w:r>
        <w:t xml:space="preserve">Narrow to </w:t>
      </w:r>
      <w:r>
        <w:rPr>
          <w:rFonts w:ascii="Consolas" w:hAnsi="Consolas"/>
        </w:rPr>
        <w:t>Year</w:t>
      </w:r>
      <w:r>
        <w:t xml:space="preserve">, </w:t>
      </w:r>
      <w:r>
        <w:rPr>
          <w:rFonts w:ascii="Consolas" w:hAnsi="Consolas"/>
        </w:rPr>
        <w:t>Quarter</w:t>
      </w:r>
      <w:r>
        <w:t xml:space="preserve">, or </w:t>
      </w:r>
      <w:r>
        <w:rPr>
          <w:rFonts w:ascii="Consolas" w:hAnsi="Consolas"/>
        </w:rPr>
        <w:t>Month</w:t>
      </w:r>
      <w:r>
        <w:t>.</w:t>
      </w:r>
    </w:p>
    <w:p>
      <w:pPr>
        <w:pStyle w:val="ManualNumber"/>
      </w:pPr>
      <w:r>
        <w:t>Compare how the cards change.</w:t>
      </w:r>
    </w:p>
    <w:p>
      <w:pPr>
        <w:pStyle w:val="ManualNumber"/>
      </w:pPr>
      <w:r>
        <w:t>Compare how the trend shape changes.</w:t>
      </w:r>
    </w:p>
    <w:p/>
    <w:p>
      <w:pPr>
        <w:pStyle w:val="Heading2"/>
      </w:pPr>
      <w:r>
        <w:t>8.3 Check whether figures are current enough to use</w:t>
      </w:r>
    </w:p>
    <w:p>
      <w:pPr>
        <w:pStyle w:val="ManualNumber"/>
      </w:pPr>
      <w:r>
        <w:t>Open the dashboard.</w:t>
      </w:r>
    </w:p>
    <w:p>
      <w:pPr>
        <w:pStyle w:val="ManualNumber"/>
      </w:pPr>
      <w:r>
        <w:t xml:space="preserve">Look at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>Decide whether that refresh point is suitable for your meeting, report, or update.</w:t>
      </w:r>
    </w:p>
    <w:p>
      <w:pPr>
        <w:pStyle w:val="ManualNumber"/>
      </w:pPr>
      <w:r>
        <w:t>If not, contact the dashboard administrator.</w:t>
      </w:r>
    </w:p>
    <w:p/>
    <w:p>
      <w:pPr>
        <w:pStyle w:val="Heading1"/>
      </w:pPr>
      <w:r>
        <w:t>9. Data Request Form</w:t>
      </w:r>
    </w:p>
    <w:p>
      <w:r>
        <w:t xml:space="preserve">Funder users can also open </w:t>
      </w:r>
      <w:r>
        <w:rPr>
          <w:rFonts w:ascii="Consolas" w:hAnsi="Consolas"/>
        </w:rPr>
        <w:t>Data Request Form</w:t>
      </w:r>
      <w:r>
        <w:t>.</w:t>
      </w:r>
    </w:p>
    <w:p/>
    <w:p>
      <w:r>
        <w:t>Use it when:</w:t>
      </w:r>
    </w:p>
    <w:p/>
    <w:p>
      <w:pPr>
        <w:pStyle w:val="ManualBullet"/>
      </w:pPr>
      <w:r>
        <w:t>you need a more formal data request</w:t>
      </w:r>
    </w:p>
    <w:p>
      <w:pPr>
        <w:pStyle w:val="ManualBullet"/>
      </w:pPr>
      <w:r>
        <w:t>you need to explain why additional information is being requested</w:t>
      </w:r>
    </w:p>
    <w:p>
      <w:pPr>
        <w:pStyle w:val="ManualBullet"/>
      </w:pPr>
      <w:r>
        <w:t>you want the request reviewed by the operational team</w:t>
      </w:r>
    </w:p>
    <w:p/>
    <w:p>
      <w:r>
        <w:t>All fields are required:</w:t>
      </w:r>
    </w:p>
    <w:p/>
    <w:p>
      <w:pPr>
        <w:pStyle w:val="ManualBullet"/>
      </w:pPr>
      <w:r>
        <w:rPr>
          <w:rFonts w:ascii="Consolas" w:hAnsi="Consolas"/>
        </w:rPr>
        <w:t>Name</w:t>
      </w:r>
    </w:p>
    <w:p>
      <w:pPr>
        <w:pStyle w:val="ManualBullet"/>
      </w:pPr>
      <w:r>
        <w:rPr>
          <w:rFonts w:ascii="Consolas" w:hAnsi="Consolas"/>
        </w:rPr>
        <w:t>Email</w:t>
      </w:r>
    </w:p>
    <w:p>
      <w:pPr>
        <w:pStyle w:val="ManualBullet"/>
      </w:pPr>
      <w:r>
        <w:rPr>
          <w:rFonts w:ascii="Consolas" w:hAnsi="Consolas"/>
        </w:rPr>
        <w:t>Date</w:t>
      </w:r>
    </w:p>
    <w:p>
      <w:pPr>
        <w:pStyle w:val="ManualBullet"/>
      </w:pPr>
      <w:r>
        <w:rPr>
          <w:rFonts w:ascii="Consolas" w:hAnsi="Consolas"/>
        </w:rPr>
        <w:t>Time</w:t>
      </w:r>
    </w:p>
    <w:p>
      <w:pPr>
        <w:pStyle w:val="ManualBullet"/>
      </w:pPr>
      <w:r>
        <w:rPr>
          <w:rFonts w:ascii="Consolas" w:hAnsi="Consolas"/>
        </w:rPr>
        <w:t>Reason for data request</w:t>
      </w:r>
    </w:p>
    <w:p/>
    <w:p>
      <w:r>
        <w:t xml:space="preserve">When you submit a request, </w:t>
      </w: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dashboard.</w:t>
      </w:r>
    </w:p>
    <w:p/>
    <w:p>
      <w:pPr>
        <w:pStyle w:val="Heading1"/>
      </w:pPr>
      <w:r>
        <w:t>10. What this role cannot do</w:t>
      </w:r>
    </w:p>
    <w:p>
      <w:r>
        <w:t>Funder users cannot:</w:t>
      </w:r>
    </w:p>
    <w:p/>
    <w:p>
      <w:pPr>
        <w:pStyle w:val="ManualBullet"/>
      </w:pPr>
      <w:r>
        <w:t>switch to operational dashboards</w:t>
      </w:r>
    </w:p>
    <w:p>
      <w:pPr>
        <w:pStyle w:val="ManualBullet"/>
      </w:pPr>
      <w:r>
        <w:t>inspect personal records</w:t>
      </w:r>
    </w:p>
    <w:p>
      <w:pPr>
        <w:pStyle w:val="ManualBullet"/>
      </w:pPr>
      <w:r>
        <w:t>run custom reports</w:t>
      </w:r>
    </w:p>
    <w:p>
      <w:pPr>
        <w:pStyle w:val="ManualBullet"/>
      </w:pPr>
      <w:r>
        <w:t>review event-level participant detail</w:t>
      </w:r>
    </w:p>
    <w:p>
      <w:pPr>
        <w:pStyle w:val="ManualBullet"/>
      </w:pPr>
      <w:r>
        <w:t>manage users</w:t>
      </w:r>
    </w:p>
    <w:p>
      <w:pPr>
        <w:pStyle w:val="ManualBullet"/>
      </w:pPr>
      <w:r>
        <w:t>run sync actions</w:t>
      </w:r>
    </w:p>
    <w:p/>
    <w:p>
      <w:r>
        <w:t>These limits are intentional and support privacy-safe reporting.</w:t>
      </w:r>
    </w:p>
    <w:p/>
    <w:p>
      <w:pPr>
        <w:pStyle w:val="Heading1"/>
      </w:pPr>
      <w:r>
        <w:t>11. Good working practice</w:t>
      </w:r>
    </w:p>
    <w:p>
      <w:pPr>
        <w:pStyle w:val="ManualBullet"/>
      </w:pPr>
      <w:r>
        <w:t>check the timeframe before quoting any number</w:t>
      </w:r>
    </w:p>
    <w:p>
      <w:pPr>
        <w:pStyle w:val="ManualBullet"/>
      </w:pPr>
      <w:r>
        <w:t>check the refresh date before sharing any figure</w:t>
      </w:r>
    </w:p>
    <w:p>
      <w:pPr>
        <w:pStyle w:val="ManualBullet"/>
      </w:pPr>
      <w:r>
        <w:t>use the dashboard for summary reporting, not detailed investigation</w:t>
      </w:r>
    </w:p>
    <w:p>
      <w:pPr>
        <w:pStyle w:val="ManualBullet"/>
      </w:pPr>
      <w:r>
        <w:t>request a managed report if you need more context</w:t>
      </w:r>
    </w:p>
    <w:p>
      <w:pPr>
        <w:pStyle w:val="ManualBullet"/>
      </w:pPr>
      <w:r>
        <w:t>use the Data Request Form when you need formal review of an additional request</w:t>
      </w:r>
    </w:p>
    <w:p/>
    <w:p>
      <w:pPr>
        <w:pStyle w:val="Heading1"/>
      </w:pPr>
      <w:r>
        <w:t>12. Troubleshooting</w:t>
      </w:r>
    </w:p>
    <w:p>
      <w:pPr>
        <w:pStyle w:val="Heading2"/>
      </w:pPr>
      <w:r>
        <w:t>I cannot see any data</w:t>
      </w:r>
    </w:p>
    <w:p>
      <w:pPr>
        <w:pStyle w:val="ManualNumber"/>
      </w:pPr>
      <w:r>
        <w:t>Widen the timeframe.</w:t>
      </w:r>
    </w:p>
    <w:p>
      <w:pPr>
        <w:pStyle w:val="ManualNumber"/>
      </w:pPr>
      <w:r>
        <w:t>Check whether the assigned funder context has activity in that period.</w:t>
      </w:r>
    </w:p>
    <w:p>
      <w:pPr>
        <w:pStyle w:val="ManualNumber"/>
      </w:pPr>
      <w:r>
        <w:t>If the screen still appears empty, contact the dashboard administrator.</w:t>
      </w:r>
    </w:p>
    <w:p/>
    <w:p>
      <w:pPr>
        <w:pStyle w:val="Heading2"/>
      </w:pPr>
      <w:r>
        <w:t>The figures look old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>If it looks too old for your needs, contact the dashboard administrator.</w:t>
      </w:r>
    </w:p>
    <w:p/>
    <w:p>
      <w:pPr>
        <w:pStyle w:val="Heading2"/>
      </w:pPr>
      <w:r>
        <w:t>I need participant-level evidence</w:t>
      </w:r>
    </w:p>
    <w:p>
      <w:r>
        <w:t xml:space="preserve">That is not available in the </w:t>
      </w:r>
      <w:r>
        <w:rPr>
          <w:rFonts w:ascii="Consolas" w:hAnsi="Consolas"/>
        </w:rPr>
        <w:t>Funder</w:t>
      </w:r>
      <w:r>
        <w:t xml:space="preserve"> role. Request a managed report from the organisation instead.</w:t>
      </w:r>
    </w:p>
    <w:p/>
    <w:p>
      <w:pPr>
        <w:pStyle w:val="Heading2"/>
      </w:pPr>
      <w:r>
        <w:t>I expected to see another dashboard screen</w:t>
      </w:r>
    </w:p>
    <w:p>
      <w:r>
        <w:t xml:space="preserve">The </w:t>
      </w:r>
      <w:r>
        <w:rPr>
          <w:rFonts w:ascii="Consolas" w:hAnsi="Consolas"/>
        </w:rPr>
        <w:t>Funder</w:t>
      </w:r>
      <w:r>
        <w:t xml:space="preserve"> role includes only the </w:t>
      </w:r>
      <w:r>
        <w:rPr>
          <w:rFonts w:ascii="Consolas" w:hAnsi="Consolas"/>
        </w:rPr>
        <w:t>Funder Dashboard</w:t>
      </w:r>
      <w:r>
        <w:t>. This is expected behaviour.</w:t>
      </w:r>
    </w:p>
    <w:sectPr w:rsidR="00FC693F" w:rsidRPr="0006063C" w:rsidSect="00034616">
      <w:footerReference w:type="default" r:id="rId10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