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Funder Dashboard Manual</w:t>
      </w:r>
    </w:p>
    <w:p/>
    <w:p>
      <w:r>
        <w:t xml:space="preserve">Audience: </w:t>
      </w:r>
      <w:r>
        <w:rPr>
          <w:rFonts w:ascii="Consolas" w:hAnsi="Consolas"/>
        </w:rPr>
        <w:t>Funder</w:t>
      </w:r>
      <w:r>
        <w:t xml:space="preserve"> users</w:t>
      </w:r>
    </w:p>
    <w:p>
      <w:r>
        <w:t>Scope: safe, high-level funding and delivery summary information</w:t>
      </w:r>
    </w:p>
    <w:p/>
    <w:p>
      <w:r>
        <w:drawing>
          <wp:inline xmlns:a="http://schemas.openxmlformats.org/drawingml/2006/main" xmlns:pic="http://schemas.openxmlformats.org/drawingml/2006/picture">
            <wp:extent cx="6217920" cy="3819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der-dashboard-gui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195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1. About this guide</w:t>
      </w:r>
    </w:p>
    <w:p>
      <w:r>
        <w:t>This guide explains the dashboard for funder users.</w:t>
      </w:r>
    </w:p>
    <w:p/>
    <w:p>
      <w:r>
        <w:t>The Funder view is designed to be simple, safe, and easy to read.</w:t>
      </w:r>
    </w:p>
    <w:p/>
    <w:p>
      <w:r>
        <w:t>Available view:</w:t>
      </w:r>
    </w:p>
    <w:p/>
    <w:p>
      <w:pPr>
        <w:pStyle w:val="ManualBullet"/>
      </w:pPr>
      <w:r>
        <w:rPr>
          <w:rFonts w:ascii="Consolas" w:hAnsi="Consolas"/>
        </w:rPr>
        <w:t>Funder Dashboard</w:t>
      </w:r>
    </w:p>
    <w:p/>
    <w:p>
      <w:r>
        <w:t>Funder users cannot access:</w:t>
      </w:r>
    </w:p>
    <w:p/>
    <w:p>
      <w:pPr>
        <w:pStyle w:val="ManualBullet"/>
      </w:pPr>
      <w:r>
        <w:rPr>
          <w:rFonts w:ascii="Consolas" w:hAnsi="Consolas"/>
        </w:rPr>
        <w:t>Admin Dashboard</w:t>
      </w:r>
    </w:p>
    <w:p>
      <w:pPr>
        <w:pStyle w:val="ManualBullet"/>
      </w:pPr>
      <w:r>
        <w:rPr>
          <w:rFonts w:ascii="Consolas" w:hAnsi="Consolas"/>
        </w:rPr>
        <w:t>KPI Dashboard</w:t>
      </w:r>
    </w:p>
    <w:p>
      <w:pPr>
        <w:pStyle w:val="ManualBullet"/>
      </w:pPr>
      <w:r>
        <w:rPr>
          <w:rFonts w:ascii="Consolas" w:hAnsi="Consolas"/>
        </w:rPr>
        <w:t>Custom Reports Dashboard</w:t>
      </w:r>
    </w:p>
    <w:p>
      <w:pPr>
        <w:pStyle w:val="ManualBullet"/>
      </w:pPr>
      <w:r>
        <w:rPr>
          <w:rFonts w:ascii="Consolas" w:hAnsi="Consolas"/>
        </w:rPr>
        <w:t>ML Dashboard</w:t>
      </w:r>
    </w:p>
    <w:p>
      <w:pPr>
        <w:pStyle w:val="ManualBullet"/>
      </w:pPr>
      <w:r>
        <w:t>detailed operational drill-down</w:t>
      </w:r>
    </w:p>
    <w:p/>
    <w:p>
      <w:pPr>
        <w:pStyle w:val="Heading1"/>
      </w:pPr>
      <w:r>
        <w:t>2. What this dashboard is for</w:t>
      </w:r>
    </w:p>
    <w:p>
      <w:r>
        <w:t>Use this dashboard to answer questions such as:</w:t>
      </w:r>
    </w:p>
    <w:p/>
    <w:p>
      <w:pPr>
        <w:pStyle w:val="ManualBullet"/>
      </w:pPr>
      <w:r>
        <w:t>how many bids have been submitted</w:t>
      </w:r>
    </w:p>
    <w:p>
      <w:pPr>
        <w:pStyle w:val="ManualBullet"/>
      </w:pPr>
      <w:r>
        <w:t>how much money has been raised</w:t>
      </w:r>
    </w:p>
    <w:p>
      <w:pPr>
        <w:pStyle w:val="ManualBullet"/>
      </w:pPr>
      <w:r>
        <w:t>what the funding trend looks like over time</w:t>
      </w:r>
    </w:p>
    <w:p>
      <w:pPr>
        <w:pStyle w:val="ManualBullet"/>
      </w:pPr>
      <w:r>
        <w:t>when the dashboard was last refreshed</w:t>
      </w:r>
    </w:p>
    <w:p/>
    <w:p>
      <w:r>
        <w:t>Your funder access is applied automatically so the page opens in a safe filtered state.</w:t>
      </w:r>
    </w:p>
    <w:p/>
    <w:p>
      <w:pPr>
        <w:pStyle w:val="Heading1"/>
      </w:pPr>
      <w:r>
        <w:t>3. Signing in</w:t>
      </w:r>
    </w:p>
    <w:p>
      <w:pPr>
        <w:pStyle w:val="ManualNumber"/>
      </w:pPr>
      <w:r>
        <w:t>Open the dashboard link.</w:t>
      </w:r>
    </w:p>
    <w:p>
      <w:pPr>
        <w:pStyle w:val="ManualNumber"/>
      </w:pPr>
      <w:r>
        <w:t>Enter your email address and password.</w:t>
      </w:r>
    </w:p>
    <w:p>
      <w:pPr>
        <w:pStyle w:val="ManualNumber"/>
      </w:pPr>
      <w:r>
        <w:t>Change your password if the system asks you to do so.</w:t>
      </w:r>
    </w:p>
    <w:p>
      <w:pPr>
        <w:pStyle w:val="ManualNumber"/>
      </w:pPr>
      <w:r>
        <w:t xml:space="preserve">Check the timeframe and </w:t>
      </w:r>
      <w:r>
        <w:rPr>
          <w:rFonts w:ascii="Consolas" w:hAnsi="Consolas"/>
        </w:rPr>
        <w:t>Last Data Refresh</w:t>
      </w:r>
      <w:r>
        <w:t xml:space="preserve"> before using the figures in a report or meeting.</w:t>
      </w:r>
    </w:p>
    <w:p/>
    <w:p>
      <w:pPr>
        <w:pStyle w:val="Heading1"/>
      </w:pPr>
      <w:r>
        <w:t>4. Privacy and access</w:t>
      </w:r>
    </w:p>
    <w:p>
      <w:r>
        <w:t>The Funder Dashboard is intentionally limited.</w:t>
      </w:r>
    </w:p>
    <w:p/>
    <w:p>
      <w:r>
        <w:t>It shows:</w:t>
      </w:r>
    </w:p>
    <w:p/>
    <w:p>
      <w:pPr>
        <w:pStyle w:val="ManualBullet"/>
      </w:pPr>
      <w:r>
        <w:t>totals</w:t>
      </w:r>
    </w:p>
    <w:p>
      <w:pPr>
        <w:pStyle w:val="ManualBullet"/>
      </w:pPr>
      <w:r>
        <w:t>summary counts</w:t>
      </w:r>
    </w:p>
    <w:p>
      <w:pPr>
        <w:pStyle w:val="ManualBullet"/>
      </w:pPr>
      <w:r>
        <w:t>grouped financial information</w:t>
      </w:r>
    </w:p>
    <w:p>
      <w:pPr>
        <w:pStyle w:val="ManualBullet"/>
      </w:pPr>
      <w:r>
        <w:t>trend views</w:t>
      </w:r>
    </w:p>
    <w:p/>
    <w:p>
      <w:r>
        <w:t>It does not show:</w:t>
      </w:r>
    </w:p>
    <w:p/>
    <w:p>
      <w:pPr>
        <w:pStyle w:val="ManualBullet"/>
      </w:pPr>
      <w:r>
        <w:t>personal data</w:t>
      </w:r>
    </w:p>
    <w:p>
      <w:pPr>
        <w:pStyle w:val="ManualBullet"/>
      </w:pPr>
      <w:r>
        <w:t>named participants</w:t>
      </w:r>
    </w:p>
    <w:p>
      <w:pPr>
        <w:pStyle w:val="ManualBullet"/>
      </w:pPr>
      <w:r>
        <w:t>attendee-level records</w:t>
      </w:r>
    </w:p>
    <w:p>
      <w:pPr>
        <w:pStyle w:val="ManualBullet"/>
      </w:pPr>
      <w:r>
        <w:t>operational records behind the totals</w:t>
      </w:r>
    </w:p>
    <w:p/>
    <w:p>
      <w:r>
        <w:t>If you need something more detailed, ask the organisation for a managed report.</w:t>
      </w:r>
    </w:p>
    <w:p/>
    <w:p>
      <w:pPr>
        <w:pStyle w:val="Heading1"/>
      </w:pPr>
      <w:r>
        <w:t>5. Filters</w:t>
      </w:r>
    </w:p>
    <w:p>
      <w:r>
        <w:t>Funder users have limited controls by design.</w:t>
      </w:r>
    </w:p>
    <w:p/>
    <w:p>
      <w:r>
        <w:t>You can:</w:t>
      </w:r>
    </w:p>
    <w:p/>
    <w:p>
      <w:pPr>
        <w:pStyle w:val="ManualBullet"/>
      </w:pPr>
      <w:r>
        <w:t>change the timeframe</w:t>
      </w:r>
    </w:p>
    <w:p/>
    <w:p>
      <w:r>
        <w:t>You cannot:</w:t>
      </w:r>
    </w:p>
    <w:p/>
    <w:p>
      <w:pPr>
        <w:pStyle w:val="ManualBullet"/>
      </w:pPr>
      <w:r>
        <w:t xml:space="preserve">change the region, because it is fixed to </w:t>
      </w:r>
      <w:r>
        <w:rPr>
          <w:rFonts w:ascii="Consolas" w:hAnsi="Consolas"/>
        </w:rPr>
        <w:t>Global</w:t>
      </w:r>
    </w:p>
    <w:p>
      <w:pPr>
        <w:pStyle w:val="ManualBullet"/>
      </w:pPr>
      <w:r>
        <w:t>open the wider operational views</w:t>
      </w:r>
    </w:p>
    <w:p/>
    <w:p>
      <w:r>
        <w:t>Typical timeframe options:</w:t>
      </w:r>
    </w:p>
    <w:p/>
    <w:p>
      <w:pPr>
        <w:pStyle w:val="ManualBullet"/>
      </w:pPr>
      <w:r>
        <w:rPr>
          <w:rFonts w:ascii="Consolas" w:hAnsi="Consolas"/>
        </w:rPr>
        <w:t>All Time</w:t>
      </w:r>
    </w:p>
    <w:p>
      <w:pPr>
        <w:pStyle w:val="ManualBullet"/>
      </w:pPr>
      <w:r>
        <w:rPr>
          <w:rFonts w:ascii="Consolas" w:hAnsi="Consolas"/>
        </w:rPr>
        <w:t>Year</w:t>
      </w:r>
    </w:p>
    <w:p>
      <w:pPr>
        <w:pStyle w:val="ManualBullet"/>
      </w:pPr>
      <w:r>
        <w:rPr>
          <w:rFonts w:ascii="Consolas" w:hAnsi="Consolas"/>
        </w:rPr>
        <w:t>Quarter</w:t>
      </w:r>
    </w:p>
    <w:p>
      <w:pPr>
        <w:pStyle w:val="ManualBullet"/>
      </w:pPr>
      <w:r>
        <w:rPr>
          <w:rFonts w:ascii="Consolas" w:hAnsi="Consolas"/>
        </w:rPr>
        <w:t>Month</w:t>
      </w:r>
    </w:p>
    <w:p>
      <w:pPr>
        <w:pStyle w:val="ManualBullet"/>
      </w:pPr>
      <w:r>
        <w:rPr>
          <w:rFonts w:ascii="Consolas" w:hAnsi="Consolas"/>
        </w:rPr>
        <w:t>Custom Range</w:t>
      </w:r>
    </w:p>
    <w:p/>
    <w:p>
      <w:pPr>
        <w:pStyle w:val="Heading1"/>
      </w:pPr>
      <w:r>
        <w:t>6. Reading the dashboard</w:t>
      </w:r>
    </w:p>
    <w:p>
      <w:pPr>
        <w:pStyle w:val="Heading2"/>
      </w:pPr>
      <w:r>
        <w:t>Headline cards</w:t>
      </w:r>
    </w:p>
    <w:p>
      <w:r>
        <w:t>The top cards usually show:</w:t>
      </w:r>
    </w:p>
    <w:p/>
    <w:p>
      <w:pPr>
        <w:pStyle w:val="ManualBullet"/>
      </w:pPr>
      <w:r>
        <w:rPr>
          <w:rFonts w:ascii="Consolas" w:hAnsi="Consolas"/>
        </w:rPr>
        <w:t>Bids Submitted</w:t>
      </w:r>
    </w:p>
    <w:p>
      <w:pPr>
        <w:pStyle w:val="ManualBullet"/>
      </w:pPr>
      <w:r>
        <w:rPr>
          <w:rFonts w:ascii="Consolas" w:hAnsi="Consolas"/>
        </w:rPr>
        <w:t>Total Funds Raised</w:t>
      </w:r>
    </w:p>
    <w:p/>
    <w:p>
      <w:r>
        <w:t>These figures update when you change the timeframe.</w:t>
      </w:r>
    </w:p>
    <w:p/>
    <w:p>
      <w:pPr>
        <w:pStyle w:val="Heading2"/>
      </w:pPr>
      <w:r>
        <w:t>Income trend</w:t>
      </w:r>
    </w:p>
    <w:p>
      <w:r>
        <w:t>The trend area helps you see how funding has changed over time.</w:t>
      </w:r>
    </w:p>
    <w:p/>
    <w:p>
      <w:r>
        <w:t>Use it to spot:</w:t>
      </w:r>
    </w:p>
    <w:p/>
    <w:p>
      <w:pPr>
        <w:pStyle w:val="ManualBullet"/>
      </w:pPr>
      <w:r>
        <w:t>busy periods</w:t>
      </w:r>
    </w:p>
    <w:p>
      <w:pPr>
        <w:pStyle w:val="ManualBullet"/>
      </w:pPr>
      <w:r>
        <w:t>quiet periods</w:t>
      </w:r>
    </w:p>
    <w:p>
      <w:pPr>
        <w:pStyle w:val="ManualBullet"/>
      </w:pPr>
      <w:r>
        <w:t>whether activity is steady or uneven</w:t>
      </w:r>
    </w:p>
    <w:p/>
    <w:p>
      <w:pPr>
        <w:pStyle w:val="Heading2"/>
      </w:pPr>
      <w:r>
        <w:t>Last Data Refresh</w:t>
      </w:r>
    </w:p>
    <w:p>
      <w:r>
        <w:t>Always check the refresh time before using the figures in external reporting.</w:t>
      </w:r>
    </w:p>
    <w:p/>
    <w:p>
      <w:r>
        <w:t>If the date looks too old, ask the dashboard administrator to review it.</w:t>
      </w:r>
    </w:p>
    <w:p/>
    <w:p>
      <w:pPr>
        <w:pStyle w:val="Heading1"/>
      </w:pPr>
      <w:r>
        <w:t>7. Common tasks</w:t>
      </w:r>
    </w:p>
    <w:p>
      <w:pPr>
        <w:pStyle w:val="Heading2"/>
      </w:pPr>
      <w:r>
        <w:t>Prepare for a review meeting</w:t>
      </w:r>
    </w:p>
    <w:p>
      <w:pPr>
        <w:pStyle w:val="ManualNumber"/>
      </w:pPr>
      <w:r>
        <w:t>Open the dashboard.</w:t>
      </w:r>
    </w:p>
    <w:p>
      <w:pPr>
        <w:pStyle w:val="ManualNumber"/>
      </w:pPr>
      <w:r>
        <w:t>Choose the reporting period.</w:t>
      </w:r>
    </w:p>
    <w:p>
      <w:pPr>
        <w:pStyle w:val="ManualNumber"/>
      </w:pPr>
      <w:r>
        <w:t xml:space="preserve">Review </w:t>
      </w:r>
      <w:r>
        <w:rPr>
          <w:rFonts w:ascii="Consolas" w:hAnsi="Consolas"/>
        </w:rPr>
        <w:t>Bids Submitted</w:t>
      </w:r>
      <w:r>
        <w:t>.</w:t>
      </w:r>
    </w:p>
    <w:p>
      <w:pPr>
        <w:pStyle w:val="ManualNumber"/>
      </w:pPr>
      <w:r>
        <w:t xml:space="preserve">Review </w:t>
      </w:r>
      <w:r>
        <w:rPr>
          <w:rFonts w:ascii="Consolas" w:hAnsi="Consolas"/>
        </w:rPr>
        <w:t>Total Funds Raised</w:t>
      </w:r>
      <w:r>
        <w:t>.</w:t>
      </w:r>
    </w:p>
    <w:p>
      <w:pPr>
        <w:pStyle w:val="ManualNumber"/>
      </w:pPr>
      <w:r>
        <w:t>Review the income trend.</w:t>
      </w:r>
    </w:p>
    <w:p>
      <w:pPr>
        <w:pStyle w:val="ManualNumber"/>
      </w:pPr>
      <w:r>
        <w:t xml:space="preserve">Check </w:t>
      </w:r>
      <w:r>
        <w:rPr>
          <w:rFonts w:ascii="Consolas" w:hAnsi="Consolas"/>
        </w:rPr>
        <w:t>Last Data Refresh</w:t>
      </w:r>
      <w:r>
        <w:t>.</w:t>
      </w:r>
    </w:p>
    <w:p/>
    <w:p>
      <w:pPr>
        <w:pStyle w:val="Heading2"/>
      </w:pPr>
      <w:r>
        <w:t>Compare a recent period with a wider period</w:t>
      </w:r>
    </w:p>
    <w:p>
      <w:pPr>
        <w:pStyle w:val="ManualNumber"/>
      </w:pPr>
      <w:r>
        <w:t xml:space="preserve">Start with </w:t>
      </w:r>
      <w:r>
        <w:rPr>
          <w:rFonts w:ascii="Consolas" w:hAnsi="Consolas"/>
        </w:rPr>
        <w:t>All Time</w:t>
      </w:r>
      <w:r>
        <w:t>.</w:t>
      </w:r>
    </w:p>
    <w:p>
      <w:pPr>
        <w:pStyle w:val="ManualNumber"/>
      </w:pPr>
      <w:r>
        <w:t>Review the overall trend.</w:t>
      </w:r>
    </w:p>
    <w:p>
      <w:pPr>
        <w:pStyle w:val="ManualNumber"/>
      </w:pPr>
      <w:r>
        <w:t xml:space="preserve">Narrow to </w:t>
      </w:r>
      <w:r>
        <w:rPr>
          <w:rFonts w:ascii="Consolas" w:hAnsi="Consolas"/>
        </w:rPr>
        <w:t>Year</w:t>
      </w:r>
      <w:r>
        <w:t xml:space="preserve">, </w:t>
      </w:r>
      <w:r>
        <w:rPr>
          <w:rFonts w:ascii="Consolas" w:hAnsi="Consolas"/>
        </w:rPr>
        <w:t>Quarter</w:t>
      </w:r>
      <w:r>
        <w:t xml:space="preserve">, or </w:t>
      </w:r>
      <w:r>
        <w:rPr>
          <w:rFonts w:ascii="Consolas" w:hAnsi="Consolas"/>
        </w:rPr>
        <w:t>Month</w:t>
      </w:r>
      <w:r>
        <w:t>.</w:t>
      </w:r>
    </w:p>
    <w:p>
      <w:pPr>
        <w:pStyle w:val="ManualNumber"/>
      </w:pPr>
      <w:r>
        <w:t>Compare the change in the headline figures.</w:t>
      </w:r>
    </w:p>
    <w:p/>
    <w:p>
      <w:pPr>
        <w:pStyle w:val="Heading1"/>
      </w:pPr>
      <w:r>
        <w:t>8. What funder users cannot do</w:t>
      </w:r>
    </w:p>
    <w:p>
      <w:r>
        <w:t>Funder users cannot:</w:t>
      </w:r>
    </w:p>
    <w:p/>
    <w:p>
      <w:pPr>
        <w:pStyle w:val="ManualBullet"/>
      </w:pPr>
      <w:r>
        <w:t>switch to the other dashboard views</w:t>
      </w:r>
    </w:p>
    <w:p>
      <w:pPr>
        <w:pStyle w:val="ManualBullet"/>
      </w:pPr>
      <w:r>
        <w:t>inspect personal records</w:t>
      </w:r>
    </w:p>
    <w:p>
      <w:pPr>
        <w:pStyle w:val="ManualBullet"/>
      </w:pPr>
      <w:r>
        <w:t>access participant details</w:t>
      </w:r>
    </w:p>
    <w:p>
      <w:pPr>
        <w:pStyle w:val="ManualBullet"/>
      </w:pPr>
      <w:r>
        <w:t>run custom reports</w:t>
      </w:r>
    </w:p>
    <w:p>
      <w:pPr>
        <w:pStyle w:val="ManualBullet"/>
      </w:pPr>
      <w:r>
        <w:t>manage users</w:t>
      </w:r>
    </w:p>
    <w:p>
      <w:pPr>
        <w:pStyle w:val="ManualBullet"/>
      </w:pPr>
      <w:r>
        <w:t>run sync actions</w:t>
      </w:r>
    </w:p>
    <w:p/>
    <w:p>
      <w:r>
        <w:t>These limits are intentional.</w:t>
      </w:r>
    </w:p>
    <w:p/>
    <w:p>
      <w:pPr>
        <w:pStyle w:val="Heading1"/>
      </w:pPr>
      <w:r>
        <w:t>9. Troubleshooting</w:t>
      </w:r>
    </w:p>
    <w:p>
      <w:pPr>
        <w:pStyle w:val="Heading2"/>
      </w:pPr>
      <w:r>
        <w:t>I cannot see any data</w:t>
      </w:r>
    </w:p>
    <w:p>
      <w:pPr>
        <w:pStyle w:val="ManualBullet"/>
      </w:pPr>
      <w:r>
        <w:t>widen the timeframe</w:t>
      </w:r>
    </w:p>
    <w:p>
      <w:pPr>
        <w:pStyle w:val="ManualBullet"/>
      </w:pPr>
      <w:r>
        <w:t>check whether your assigned funder has records in that period</w:t>
      </w:r>
    </w:p>
    <w:p/>
    <w:p>
      <w:pPr>
        <w:pStyle w:val="Heading2"/>
      </w:pPr>
      <w:r>
        <w:t>The figures look old</w:t>
      </w:r>
    </w:p>
    <w:p>
      <w:pPr>
        <w:pStyle w:val="ManualBullet"/>
      </w:pPr>
      <w:r>
        <w:t xml:space="preserve">check </w:t>
      </w:r>
      <w:r>
        <w:rPr>
          <w:rFonts w:ascii="Consolas" w:hAnsi="Consolas"/>
        </w:rPr>
        <w:t>Last Data Refresh</w:t>
      </w:r>
    </w:p>
    <w:p>
      <w:pPr>
        <w:pStyle w:val="ManualBullet"/>
      </w:pPr>
      <w:r>
        <w:t>contact the dashboard administrator if the refresh time looks too old</w:t>
      </w:r>
    </w:p>
    <w:p/>
    <w:p>
      <w:pPr>
        <w:pStyle w:val="Heading2"/>
      </w:pPr>
      <w:r>
        <w:t>I need participant-level evidence</w:t>
      </w:r>
    </w:p>
    <w:p>
      <w:pPr>
        <w:pStyle w:val="ManualBullet"/>
      </w:pPr>
      <w:r>
        <w:t>that is not available in the Funder role</w:t>
      </w:r>
    </w:p>
    <w:p>
      <w:pPr>
        <w:pStyle w:val="ManualBullet"/>
      </w:pPr>
      <w:r>
        <w:t>ask the organisation for a managed report instead</w:t>
      </w:r>
    </w:p>
    <w:sectPr w:rsidR="00FC693F" w:rsidRPr="0006063C" w:rsidSect="00034616">
      <w:pgSz w:w="11909" w:h="16834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Bullet">
    <w:name w:val="Manual Bullet"/>
    <w:basedOn w:val="ListBullet"/>
    <w:rPr>
      <w:rFonts w:ascii="Aptos" w:hAnsi="Aptos"/>
      <w:sz w:val="22"/>
    </w:rPr>
  </w:style>
  <w:style w:type="paragraph" w:customStyle="1" w:styleId="ManualNumber">
    <w:name w:val="Manual Number"/>
    <w:basedOn w:val="ListNumber"/>
    <w:rPr>
      <w:rFonts w:ascii="Aptos" w:hAnsi="Aptos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