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Manager Dashboard Manual</w:t>
      </w:r>
    </w:p>
    <w:p/>
    <w:p>
      <w:r>
        <w:t xml:space="preserve">Audience: </w:t>
      </w:r>
      <w:r>
        <w:rPr>
          <w:rFonts w:ascii="Consolas" w:hAnsi="Consolas"/>
        </w:rPr>
        <w:t>Manager</w:t>
      </w:r>
      <w:r>
        <w:t xml:space="preserve"> users</w:t>
      </w:r>
    </w:p>
    <w:p>
      <w:r>
        <w:t>Scope: operational reporting, KPI checking, event review, and funder-facing oversight</w:t>
      </w:r>
    </w:p>
    <w:p/>
    <w:p>
      <w:r>
        <w:drawing>
          <wp:inline xmlns:a="http://schemas.openxmlformats.org/drawingml/2006/main" xmlns:pic="http://schemas.openxmlformats.org/drawingml/2006/picture">
            <wp:extent cx="6217920" cy="3819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pi-dashboard-guid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1. About this guide</w:t>
      </w:r>
    </w:p>
    <w:p>
      <w:r>
        <w:t>Managers use the dashboard to move between summary reporting and operational detail.</w:t>
      </w:r>
    </w:p>
    <w:p/>
    <w:p>
      <w:r>
        <w:t>Available views:</w:t>
      </w:r>
    </w:p>
    <w:p/>
    <w:p>
      <w:pPr>
        <w:pStyle w:val="ManualBullet"/>
      </w:pPr>
      <w:r>
        <w:rPr>
          <w:rFonts w:ascii="Consolas" w:hAnsi="Consolas"/>
        </w:rPr>
        <w:t>KPI Dashboard</w:t>
      </w:r>
    </w:p>
    <w:p>
      <w:pPr>
        <w:pStyle w:val="ManualBullet"/>
      </w:pPr>
      <w:r>
        <w:rPr>
          <w:rFonts w:ascii="Consolas" w:hAnsi="Consolas"/>
        </w:rPr>
        <w:t>Custom Reports Dashboard</w:t>
      </w:r>
    </w:p>
    <w:p>
      <w:pPr>
        <w:pStyle w:val="ManualBullet"/>
      </w:pPr>
      <w:r>
        <w:rPr>
          <w:rFonts w:ascii="Consolas" w:hAnsi="Consolas"/>
        </w:rPr>
        <w:t>Case Studies</w:t>
      </w:r>
    </w:p>
    <w:p>
      <w:pPr>
        <w:pStyle w:val="ManualBullet"/>
      </w:pPr>
      <w:r>
        <w:rPr>
          <w:rFonts w:ascii="Consolas" w:hAnsi="Consolas"/>
        </w:rPr>
        <w:t>Funder Dashboard</w:t>
      </w:r>
    </w:p>
    <w:p>
      <w:pPr>
        <w:pStyle w:val="ManualBullet"/>
      </w:pPr>
      <w:r>
        <w:rPr>
          <w:rFonts w:ascii="Consolas" w:hAnsi="Consolas"/>
        </w:rPr>
        <w:t>ML Dashboard</w:t>
      </w:r>
    </w:p>
    <w:p/>
    <w:p>
      <w:r>
        <w:t>Managers cannot access:</w:t>
      </w:r>
    </w:p>
    <w:p/>
    <w:p>
      <w:pPr>
        <w:pStyle w:val="ManualBullet"/>
      </w:pPr>
      <w:r>
        <w:rPr>
          <w:rFonts w:ascii="Consolas" w:hAnsi="Consolas"/>
        </w:rPr>
        <w:t>Admin Dashboard</w:t>
      </w:r>
    </w:p>
    <w:p/>
    <w:p>
      <w:pPr>
        <w:pStyle w:val="Heading1"/>
      </w:pPr>
      <w:r>
        <w:t>2. Getting started</w:t>
      </w:r>
    </w:p>
    <w:p>
      <w:pPr>
        <w:pStyle w:val="ManualNumber"/>
      </w:pPr>
      <w:r>
        <w:t>Sign in with your email address and password.</w:t>
      </w:r>
    </w:p>
    <w:p>
      <w:pPr>
        <w:pStyle w:val="ManualNumber"/>
      </w:pPr>
      <w:r>
        <w:t>Change your password if the system asks you to do so.</w:t>
      </w:r>
    </w:p>
    <w:p>
      <w:pPr>
        <w:pStyle w:val="ManualNumber"/>
      </w:pPr>
      <w:r>
        <w:t xml:space="preserve">Use </w:t>
      </w:r>
      <w:r>
        <w:rPr>
          <w:rFonts w:ascii="Consolas" w:hAnsi="Consolas"/>
        </w:rPr>
        <w:t>View Mode</w:t>
      </w:r>
      <w:r>
        <w:t xml:space="preserve"> in the sidebar to switch screens.</w:t>
      </w:r>
    </w:p>
    <w:p>
      <w:pPr>
        <w:pStyle w:val="ManualNumber"/>
      </w:pPr>
      <w:r>
        <w:t xml:space="preserve">Check </w:t>
      </w:r>
      <w:r>
        <w:rPr>
          <w:rFonts w:ascii="Consolas" w:hAnsi="Consolas"/>
        </w:rPr>
        <w:t>Last Data Refresh</w:t>
      </w:r>
      <w:r>
        <w:t xml:space="preserve"> before using figures externally.</w:t>
      </w:r>
    </w:p>
    <w:p>
      <w:pPr>
        <w:pStyle w:val="ManualNumber"/>
      </w:pPr>
      <w:r>
        <w:t>Start in KPI for summary, then move to another view if you need more detail.</w:t>
      </w:r>
    </w:p>
    <w:p/>
    <w:p>
      <w:r>
        <w:drawing>
          <wp:inline xmlns:a="http://schemas.openxmlformats.org/drawingml/2006/main" xmlns:pic="http://schemas.openxmlformats.org/drawingml/2006/picture">
            <wp:extent cx="6217920" cy="38195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-navig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3. Filters and navigation</w:t>
      </w:r>
    </w:p>
    <w:p>
      <w:r>
        <w:t>Most manager tasks rely on:</w:t>
      </w:r>
    </w:p>
    <w:p/>
    <w:p>
      <w:pPr>
        <w:pStyle w:val="ManualBullet"/>
      </w:pPr>
      <w:r>
        <w:rPr>
          <w:rFonts w:ascii="Consolas" w:hAnsi="Consolas"/>
        </w:rPr>
        <w:t>View Mode</w:t>
      </w:r>
    </w:p>
    <w:p>
      <w:pPr>
        <w:pStyle w:val="ManualBullet"/>
      </w:pPr>
      <w:r>
        <w:t>region filters</w:t>
      </w:r>
    </w:p>
    <w:p>
      <w:pPr>
        <w:pStyle w:val="ManualBullet"/>
      </w:pPr>
      <w:r>
        <w:t>timeframe filters</w:t>
      </w:r>
    </w:p>
    <w:p/>
    <w:p>
      <w:r>
        <w:t>Typical timeframes:</w:t>
      </w:r>
    </w:p>
    <w:p/>
    <w:p>
      <w:pPr>
        <w:pStyle w:val="ManualBullet"/>
      </w:pPr>
      <w:r>
        <w:rPr>
          <w:rFonts w:ascii="Consolas" w:hAnsi="Consolas"/>
        </w:rPr>
        <w:t>All Time</w:t>
      </w:r>
    </w:p>
    <w:p>
      <w:pPr>
        <w:pStyle w:val="ManualBullet"/>
      </w:pPr>
      <w:r>
        <w:rPr>
          <w:rFonts w:ascii="Consolas" w:hAnsi="Consolas"/>
        </w:rPr>
        <w:t>Year</w:t>
      </w:r>
    </w:p>
    <w:p>
      <w:pPr>
        <w:pStyle w:val="ManualBullet"/>
      </w:pPr>
      <w:r>
        <w:rPr>
          <w:rFonts w:ascii="Consolas" w:hAnsi="Consolas"/>
        </w:rPr>
        <w:t>Quarter</w:t>
      </w:r>
    </w:p>
    <w:p>
      <w:pPr>
        <w:pStyle w:val="ManualBullet"/>
      </w:pPr>
      <w:r>
        <w:rPr>
          <w:rFonts w:ascii="Consolas" w:hAnsi="Consolas"/>
        </w:rPr>
        <w:t>Month</w:t>
      </w:r>
    </w:p>
    <w:p>
      <w:pPr>
        <w:pStyle w:val="ManualBullet"/>
      </w:pPr>
      <w:r>
        <w:rPr>
          <w:rFonts w:ascii="Consolas" w:hAnsi="Consolas"/>
        </w:rPr>
        <w:t>Week</w:t>
      </w:r>
    </w:p>
    <w:p>
      <w:pPr>
        <w:pStyle w:val="ManualBullet"/>
      </w:pPr>
      <w:r>
        <w:rPr>
          <w:rFonts w:ascii="Consolas" w:hAnsi="Consolas"/>
        </w:rPr>
        <w:t>Custom Range</w:t>
      </w:r>
    </w:p>
    <w:p/>
    <w:p>
      <w:r>
        <w:t>If records seem to be missing, widen the filters first.</w:t>
      </w:r>
    </w:p>
    <w:p/>
    <w:p>
      <w:pPr>
        <w:pStyle w:val="Heading1"/>
      </w:pPr>
      <w:r>
        <w:t>4. KPI Dashboard</w:t>
      </w:r>
    </w:p>
    <w:p>
      <w:r>
        <w:t>The KPI Dashboard is the main place for checking headline operational figures.</w:t>
      </w:r>
    </w:p>
    <w:p/>
    <w:p>
      <w:pPr>
        <w:pStyle w:val="Heading2"/>
      </w:pPr>
      <w:r>
        <w:t>4.1 KPI sections</w:t>
      </w:r>
    </w:p>
    <w:p>
      <w:r>
        <w:t>Use the section selector to move between:</w:t>
      </w:r>
    </w:p>
    <w:p/>
    <w:p>
      <w:pPr>
        <w:pStyle w:val="ManualBullet"/>
      </w:pPr>
      <w:r>
        <w:rPr>
          <w:rFonts w:ascii="Consolas" w:hAnsi="Consolas"/>
        </w:rPr>
        <w:t>Governance</w:t>
      </w:r>
    </w:p>
    <w:p>
      <w:pPr>
        <w:pStyle w:val="ManualBullet"/>
      </w:pPr>
      <w:r>
        <w:rPr>
          <w:rFonts w:ascii="Consolas" w:hAnsi="Consolas"/>
        </w:rPr>
        <w:t>Partnerships</w:t>
      </w:r>
    </w:p>
    <w:p>
      <w:pPr>
        <w:pStyle w:val="ManualBullet"/>
      </w:pPr>
      <w:r>
        <w:rPr>
          <w:rFonts w:ascii="Consolas" w:hAnsi="Consolas"/>
        </w:rPr>
        <w:t>Delivery</w:t>
      </w:r>
    </w:p>
    <w:p>
      <w:pPr>
        <w:pStyle w:val="ManualBullet"/>
      </w:pPr>
      <w:r>
        <w:rPr>
          <w:rFonts w:ascii="Consolas" w:hAnsi="Consolas"/>
        </w:rPr>
        <w:t>Income</w:t>
      </w:r>
      <w:r>
        <w:t xml:space="preserve"> when region is </w:t>
      </w:r>
      <w:r>
        <w:rPr>
          <w:rFonts w:ascii="Consolas" w:hAnsi="Consolas"/>
        </w:rPr>
        <w:t>Global</w:t>
      </w:r>
    </w:p>
    <w:p>
      <w:pPr>
        <w:pStyle w:val="ManualBullet"/>
      </w:pPr>
      <w:r>
        <w:rPr>
          <w:rFonts w:ascii="Consolas" w:hAnsi="Consolas"/>
        </w:rPr>
        <w:t>Comms</w:t>
      </w:r>
      <w:r>
        <w:t xml:space="preserve"> when region is </w:t>
      </w:r>
      <w:r>
        <w:rPr>
          <w:rFonts w:ascii="Consolas" w:hAnsi="Consolas"/>
        </w:rPr>
        <w:t>Global</w:t>
      </w:r>
    </w:p>
    <w:p>
      <w:pPr>
        <w:pStyle w:val="ManualBullet"/>
      </w:pPr>
      <w:r>
        <w:rPr>
          <w:rFonts w:ascii="Consolas" w:hAnsi="Consolas"/>
        </w:rPr>
        <w:t>Case Studies</w:t>
      </w:r>
    </w:p>
    <w:p/>
    <w:p>
      <w:pPr>
        <w:pStyle w:val="Heading2"/>
      </w:pPr>
      <w:r>
        <w:t>4.2 Drill-down</w:t>
      </w:r>
    </w:p>
    <w:p>
      <w:r>
        <w:t>Managers can open KPI cards and inspect the supporting records.</w:t>
      </w:r>
    </w:p>
    <w:p/>
    <w:p>
      <w:r>
        <w:t>This is useful when:</w:t>
      </w:r>
    </w:p>
    <w:p/>
    <w:p>
      <w:pPr>
        <w:pStyle w:val="ManualBullet"/>
      </w:pPr>
      <w:r>
        <w:t>a figure looks unusual</w:t>
      </w:r>
    </w:p>
    <w:p>
      <w:pPr>
        <w:pStyle w:val="ManualBullet"/>
      </w:pPr>
      <w:r>
        <w:t>you want to validate what is behind a total</w:t>
      </w:r>
    </w:p>
    <w:p>
      <w:pPr>
        <w:pStyle w:val="ManualBullet"/>
      </w:pPr>
      <w:r>
        <w:t>someone has asked where a number came from</w:t>
      </w:r>
    </w:p>
    <w:p/>
    <w:p>
      <w:pPr>
        <w:pStyle w:val="Heading2"/>
      </w:pPr>
      <w:r>
        <w:t>4.3 KPI Debug</w:t>
      </w:r>
    </w:p>
    <w:p>
      <w:r>
        <w:t xml:space="preserve">Managers can switch on </w:t>
      </w:r>
      <w:r>
        <w:rPr>
          <w:rFonts w:ascii="Consolas" w:hAnsi="Consolas"/>
        </w:rPr>
        <w:t>Show KPI Debug</w:t>
      </w:r>
      <w:r>
        <w:t xml:space="preserve"> from the sidebar.</w:t>
      </w:r>
    </w:p>
    <w:p/>
    <w:p>
      <w:r>
        <w:t>This shows support counts such as:</w:t>
      </w:r>
    </w:p>
    <w:p/>
    <w:p>
      <w:pPr>
        <w:pStyle w:val="ManualBullet"/>
      </w:pPr>
      <w:r>
        <w:t>people</w:t>
      </w:r>
    </w:p>
    <w:p>
      <w:pPr>
        <w:pStyle w:val="ManualBullet"/>
      </w:pPr>
      <w:r>
        <w:t>volunteers</w:t>
      </w:r>
    </w:p>
    <w:p>
      <w:pPr>
        <w:pStyle w:val="ManualBullet"/>
      </w:pPr>
      <w:r>
        <w:t>steering volunteers</w:t>
      </w:r>
    </w:p>
    <w:p>
      <w:pPr>
        <w:pStyle w:val="ManualBullet"/>
      </w:pPr>
      <w:r>
        <w:t>events</w:t>
      </w:r>
    </w:p>
    <w:p>
      <w:pPr>
        <w:pStyle w:val="ManualBullet"/>
      </w:pPr>
      <w:r>
        <w:t>participants</w:t>
      </w:r>
    </w:p>
    <w:p>
      <w:pPr>
        <w:pStyle w:val="ManualBullet"/>
      </w:pPr>
      <w:r>
        <w:t>grants</w:t>
      </w:r>
    </w:p>
    <w:p>
      <w:pPr>
        <w:pStyle w:val="ManualBullet"/>
      </w:pPr>
      <w:r>
        <w:t>bids submitted</w:t>
      </w:r>
    </w:p>
    <w:p/>
    <w:p>
      <w:r>
        <w:t>Use it when you want to work out whether the issue is the data itself or the KPI logic.</w:t>
      </w:r>
    </w:p>
    <w:p/>
    <w:p>
      <w:pPr>
        <w:pStyle w:val="Heading1"/>
      </w:pPr>
      <w:r>
        <w:t>5. Custom Reports Dashboard</w:t>
      </w:r>
    </w:p>
    <w:p>
      <w:r>
        <w:t xml:space="preserve">Use </w:t>
      </w:r>
      <w:r>
        <w:rPr>
          <w:rFonts w:ascii="Consolas" w:hAnsi="Consolas"/>
        </w:rPr>
        <w:t>Custom Reports Dashboard</w:t>
      </w:r>
      <w:r>
        <w:t xml:space="preserve"> when you need more flexible analysis than the KPI cards can give you.</w:t>
      </w:r>
    </w:p>
    <w:p/>
    <w:p>
      <w:r>
        <w:drawing>
          <wp:inline xmlns:a="http://schemas.openxmlformats.org/drawingml/2006/main" xmlns:pic="http://schemas.openxmlformats.org/drawingml/2006/picture">
            <wp:extent cx="6217920" cy="38195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stom-reports-guid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5.1 Standard workflow</w:t>
      </w:r>
    </w:p>
    <w:p>
      <w:pPr>
        <w:pStyle w:val="ManualNumber"/>
      </w:pPr>
      <w:r>
        <w:t>Choose the dataset or datasets you need.</w:t>
      </w:r>
    </w:p>
    <w:p>
      <w:pPr>
        <w:pStyle w:val="ManualNumber"/>
      </w:pPr>
      <w:r>
        <w:t>Choose an output type.</w:t>
      </w:r>
    </w:p>
    <w:p>
      <w:pPr>
        <w:pStyle w:val="ManualNumber"/>
      </w:pPr>
      <w:r>
        <w:t>Set region and timeframe.</w:t>
      </w:r>
    </w:p>
    <w:p>
      <w:pPr>
        <w:pStyle w:val="ManualNumber"/>
      </w:pPr>
      <w:r>
        <w:t xml:space="preserve">Click </w:t>
      </w:r>
      <w:r>
        <w:rPr>
          <w:rFonts w:ascii="Consolas" w:hAnsi="Consolas"/>
        </w:rPr>
        <w:t>Apply Report Filters</w:t>
      </w:r>
      <w:r>
        <w:t>.</w:t>
      </w:r>
    </w:p>
    <w:p>
      <w:pPr>
        <w:pStyle w:val="ManualNumber"/>
      </w:pPr>
      <w:r>
        <w:t>Use advanced filters if needed.</w:t>
      </w:r>
    </w:p>
    <w:p>
      <w:pPr>
        <w:pStyle w:val="ManualNumber"/>
      </w:pPr>
      <w:r>
        <w:t xml:space="preserve">Click </w:t>
      </w:r>
      <w:r>
        <w:rPr>
          <w:rFonts w:ascii="Consolas" w:hAnsi="Consolas"/>
        </w:rPr>
        <w:t>Apply Advanced Filters</w:t>
      </w:r>
      <w:r>
        <w:t>.</w:t>
      </w:r>
    </w:p>
    <w:p>
      <w:pPr>
        <w:pStyle w:val="ManualNumber"/>
      </w:pPr>
      <w:r>
        <w:t>Export the result if required.</w:t>
      </w:r>
    </w:p>
    <w:p/>
    <w:p>
      <w:pPr>
        <w:pStyle w:val="Heading2"/>
      </w:pPr>
      <w:r>
        <w:t>5.2 Good uses for managers</w:t>
      </w:r>
    </w:p>
    <w:p>
      <w:pPr>
        <w:pStyle w:val="ManualBullet"/>
      </w:pPr>
      <w:r>
        <w:t>monthly and quarterly reporting</w:t>
      </w:r>
    </w:p>
    <w:p>
      <w:pPr>
        <w:pStyle w:val="ManualBullet"/>
      </w:pPr>
      <w:r>
        <w:t>regional comparison work</w:t>
      </w:r>
    </w:p>
    <w:p>
      <w:pPr>
        <w:pStyle w:val="ManualBullet"/>
      </w:pPr>
      <w:r>
        <w:t>reviewing grants and payments</w:t>
      </w:r>
    </w:p>
    <w:p>
      <w:pPr>
        <w:pStyle w:val="ManualBullet"/>
      </w:pPr>
      <w:r>
        <w:t>checking delivery trends</w:t>
      </w:r>
    </w:p>
    <w:p>
      <w:pPr>
        <w:pStyle w:val="ManualBullet"/>
      </w:pPr>
      <w:r>
        <w:t>preparing evidence for leadership or trustees</w:t>
      </w:r>
    </w:p>
    <w:p/>
    <w:p>
      <w:pPr>
        <w:pStyle w:val="Heading2"/>
      </w:pPr>
      <w:r>
        <w:t>5.3 Distance Analysis</w:t>
      </w:r>
    </w:p>
    <w:p>
      <w:r>
        <w:t>Distance Analysis helps managers understand reach and travel burden.</w:t>
      </w:r>
    </w:p>
    <w:p/>
    <w:p>
      <w:r>
        <w:t>Use it to:</w:t>
      </w:r>
    </w:p>
    <w:p/>
    <w:p>
      <w:pPr>
        <w:pStyle w:val="ManualBullet"/>
      </w:pPr>
      <w:r>
        <w:t>rank events by average travel distance</w:t>
      </w:r>
    </w:p>
    <w:p>
      <w:pPr>
        <w:pStyle w:val="ManualBullet"/>
      </w:pPr>
      <w:r>
        <w:t>review a single event in more detail</w:t>
      </w:r>
    </w:p>
    <w:p>
      <w:pPr>
        <w:pStyle w:val="ManualBullet"/>
      </w:pPr>
      <w:r>
        <w:t>export the results for further work</w:t>
      </w:r>
    </w:p>
    <w:p/>
    <w:p>
      <w:r>
        <w:t>If the output is empty, check the quality of postcode data and any filter settings that remove unresolved rows.</w:t>
      </w:r>
    </w:p>
    <w:p/>
    <w:p>
      <w:pPr>
        <w:pStyle w:val="Heading1"/>
      </w:pPr>
      <w:r>
        <w:t>6. ML Dashboard</w:t>
      </w:r>
    </w:p>
    <w:p>
      <w:r>
        <w:t xml:space="preserve">Managers can also use the </w:t>
      </w:r>
      <w:r>
        <w:rPr>
          <w:rFonts w:ascii="Consolas" w:hAnsi="Consolas"/>
        </w:rPr>
        <w:t>ML Dashboard</w:t>
      </w:r>
      <w:r>
        <w:t xml:space="preserve"> for event-level detail.</w:t>
      </w:r>
    </w:p>
    <w:p/>
    <w:p>
      <w:r>
        <w:drawing>
          <wp:inline xmlns:a="http://schemas.openxmlformats.org/drawingml/2006/main" xmlns:pic="http://schemas.openxmlformats.org/drawingml/2006/picture">
            <wp:extent cx="6217920" cy="381957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l-dashboard-guid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Suggested workflow:</w:t>
      </w:r>
    </w:p>
    <w:p/>
    <w:p>
      <w:pPr>
        <w:pStyle w:val="ManualNumber"/>
      </w:pPr>
      <w:r>
        <w:t>Set region and timeframe.</w:t>
      </w:r>
    </w:p>
    <w:p>
      <w:pPr>
        <w:pStyle w:val="ManualNumber"/>
      </w:pPr>
      <w:r>
        <w:t>Choose the event.</w:t>
      </w:r>
    </w:p>
    <w:p>
      <w:pPr>
        <w:pStyle w:val="ManualNumber"/>
      </w:pPr>
      <w:r>
        <w:t>Review the event details.</w:t>
      </w:r>
    </w:p>
    <w:p>
      <w:pPr>
        <w:pStyle w:val="ManualNumber"/>
      </w:pPr>
      <w:r>
        <w:t>Review participant information where available.</w:t>
      </w:r>
    </w:p>
    <w:p>
      <w:pPr>
        <w:pStyle w:val="ManualNumber"/>
      </w:pPr>
      <w:r>
        <w:t>Review medical and emergency information carefully when needed.</w:t>
      </w:r>
    </w:p>
    <w:p/>
    <w:p>
      <w:r>
        <w:t>Use this view when the question is about one event rather than the wider reporting picture.</w:t>
      </w:r>
    </w:p>
    <w:p/>
    <w:p>
      <w:pPr>
        <w:pStyle w:val="Heading1"/>
      </w:pPr>
      <w:r>
        <w:t>7. Funder Dashboard</w:t>
      </w:r>
    </w:p>
    <w:p>
      <w:r>
        <w:t xml:space="preserve">Managers can open </w:t>
      </w:r>
      <w:r>
        <w:rPr>
          <w:rFonts w:ascii="Consolas" w:hAnsi="Consolas"/>
        </w:rPr>
        <w:t>Funder Dashboard</w:t>
      </w:r>
      <w:r>
        <w:t xml:space="preserve"> and select a funder.</w:t>
      </w:r>
    </w:p>
    <w:p/>
    <w:p>
      <w:r>
        <w:drawing>
          <wp:inline xmlns:a="http://schemas.openxmlformats.org/drawingml/2006/main" xmlns:pic="http://schemas.openxmlformats.org/drawingml/2006/picture">
            <wp:extent cx="6217920" cy="381957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nder-dashboard-guid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Use it for:</w:t>
      </w:r>
    </w:p>
    <w:p/>
    <w:p>
      <w:pPr>
        <w:pStyle w:val="ManualBullet"/>
      </w:pPr>
      <w:r>
        <w:t>sponsor meetings</w:t>
      </w:r>
    </w:p>
    <w:p>
      <w:pPr>
        <w:pStyle w:val="ManualBullet"/>
      </w:pPr>
      <w:r>
        <w:t>funding trend reviews</w:t>
      </w:r>
    </w:p>
    <w:p>
      <w:pPr>
        <w:pStyle w:val="ManualBullet"/>
      </w:pPr>
      <w:r>
        <w:t>checking bid totals</w:t>
      </w:r>
    </w:p>
    <w:p>
      <w:pPr>
        <w:pStyle w:val="ManualBullet"/>
      </w:pPr>
      <w:r>
        <w:t>checking what funder-facing figures look like</w:t>
      </w:r>
    </w:p>
    <w:p/>
    <w:p>
      <w:pPr>
        <w:pStyle w:val="Heading1"/>
      </w:pPr>
      <w:r>
        <w:t>8. Case Studies</w:t>
      </w:r>
    </w:p>
    <w:p>
      <w:r>
        <w:t>Managers can read and upload case studies.</w:t>
      </w:r>
    </w:p>
    <w:p/>
    <w:p>
      <w:r>
        <w:t>This is helpful when you want to add narrative evidence alongside KPI or reporting data.</w:t>
      </w:r>
    </w:p>
    <w:p/>
    <w:p>
      <w:r>
        <w:t>Suggested use:</w:t>
      </w:r>
    </w:p>
    <w:p/>
    <w:p>
      <w:pPr>
        <w:pStyle w:val="ManualBullet"/>
      </w:pPr>
      <w:r>
        <w:t>add stories after significant delivery activity</w:t>
      </w:r>
    </w:p>
    <w:p>
      <w:pPr>
        <w:pStyle w:val="ManualBullet"/>
      </w:pPr>
      <w:r>
        <w:t>tag the correct date and region</w:t>
      </w:r>
    </w:p>
    <w:p>
      <w:pPr>
        <w:pStyle w:val="ManualBullet"/>
      </w:pPr>
      <w:r>
        <w:t>use clear titles so others can find them later</w:t>
      </w:r>
    </w:p>
    <w:p/>
    <w:p>
      <w:pPr>
        <w:pStyle w:val="Heading1"/>
      </w:pPr>
      <w:r>
        <w:t>9. Recommended way of working</w:t>
      </w:r>
    </w:p>
    <w:p>
      <w:pPr>
        <w:pStyle w:val="ManualNumber"/>
      </w:pPr>
      <w:r>
        <w:t>Start in KPI for the summary view.</w:t>
      </w:r>
    </w:p>
    <w:p>
      <w:pPr>
        <w:pStyle w:val="ManualNumber"/>
      </w:pPr>
      <w:r>
        <w:t>Use drill-down or KPI Debug if something needs checking.</w:t>
      </w:r>
    </w:p>
    <w:p>
      <w:pPr>
        <w:pStyle w:val="ManualNumber"/>
      </w:pPr>
      <w:r>
        <w:t>Move to Custom Reports for structured analysis.</w:t>
      </w:r>
    </w:p>
    <w:p>
      <w:pPr>
        <w:pStyle w:val="ManualNumber"/>
      </w:pPr>
      <w:r>
        <w:t>Move to ML Dashboard when the issue is event-specific.</w:t>
      </w:r>
    </w:p>
    <w:p>
      <w:pPr>
        <w:pStyle w:val="ManualNumber"/>
      </w:pPr>
      <w:r>
        <w:t>Use Funder Dashboard for sponsor-facing review.</w:t>
      </w:r>
    </w:p>
    <w:p/>
    <w:p>
      <w:pPr>
        <w:pStyle w:val="Heading1"/>
      </w:pPr>
      <w:r>
        <w:t>10. Troubleshooting</w:t>
      </w:r>
    </w:p>
    <w:p>
      <w:pPr>
        <w:pStyle w:val="Heading2"/>
      </w:pPr>
      <w:r>
        <w:t>A KPI number looks wrong</w:t>
      </w:r>
    </w:p>
    <w:p>
      <w:pPr>
        <w:pStyle w:val="ManualBullet"/>
      </w:pPr>
      <w:r>
        <w:t>widen or narrow the timeframe</w:t>
      </w:r>
    </w:p>
    <w:p>
      <w:pPr>
        <w:pStyle w:val="ManualBullet"/>
      </w:pPr>
      <w:r>
        <w:t>drill into the KPI card</w:t>
      </w:r>
    </w:p>
    <w:p>
      <w:pPr>
        <w:pStyle w:val="ManualBullet"/>
      </w:pPr>
      <w:r>
        <w:t xml:space="preserve">switch on </w:t>
      </w:r>
      <w:r>
        <w:rPr>
          <w:rFonts w:ascii="Consolas" w:hAnsi="Consolas"/>
        </w:rPr>
        <w:t>Show KPI Debug</w:t>
      </w:r>
    </w:p>
    <w:p/>
    <w:p>
      <w:pPr>
        <w:pStyle w:val="Heading2"/>
      </w:pPr>
      <w:r>
        <w:t>A report does not update</w:t>
      </w:r>
    </w:p>
    <w:p>
      <w:pPr>
        <w:pStyle w:val="ManualBullet"/>
      </w:pPr>
      <w:r>
        <w:t xml:space="preserve">click </w:t>
      </w:r>
      <w:r>
        <w:rPr>
          <w:rFonts w:ascii="Consolas" w:hAnsi="Consolas"/>
        </w:rPr>
        <w:t>Apply Report Filters</w:t>
      </w:r>
    </w:p>
    <w:p>
      <w:pPr>
        <w:pStyle w:val="ManualBullet"/>
      </w:pPr>
      <w:r>
        <w:t xml:space="preserve">click </w:t>
      </w:r>
      <w:r>
        <w:rPr>
          <w:rFonts w:ascii="Consolas" w:hAnsi="Consolas"/>
        </w:rPr>
        <w:t>Apply Advanced Filters</w:t>
      </w:r>
      <w:r>
        <w:t xml:space="preserve"> if you changed advanced options</w:t>
      </w:r>
    </w:p>
    <w:p/>
    <w:p>
      <w:pPr>
        <w:pStyle w:val="Heading2"/>
      </w:pPr>
      <w:r>
        <w:t>Attendee detail is missing</w:t>
      </w:r>
    </w:p>
    <w:p>
      <w:pPr>
        <w:pStyle w:val="ManualBullet"/>
      </w:pPr>
      <w:r>
        <w:t>some events only contain partial attendee data</w:t>
      </w:r>
    </w:p>
    <w:p>
      <w:pPr>
        <w:pStyle w:val="ManualBullet"/>
      </w:pPr>
      <w:r>
        <w:t>what you can see depends on the source data and your role</w:t>
      </w:r>
    </w:p>
    <w:p/>
    <w:p>
      <w:pPr>
        <w:pStyle w:val="Heading2"/>
      </w:pPr>
      <w:r>
        <w:t>Funder figures look empty</w:t>
      </w:r>
    </w:p>
    <w:p>
      <w:pPr>
        <w:pStyle w:val="ManualBullet"/>
      </w:pPr>
      <w:r>
        <w:t>widen the timeframe</w:t>
      </w:r>
    </w:p>
    <w:p>
      <w:pPr>
        <w:pStyle w:val="ManualBullet"/>
      </w:pPr>
      <w:r>
        <w:t>change the selected funder</w:t>
      </w:r>
    </w:p>
    <w:p>
      <w:pPr>
        <w:pStyle w:val="ManualBullet"/>
      </w:pPr>
      <w:r>
        <w:t>check that the funder appears in payments or grants</w:t>
      </w:r>
    </w:p>
    <w:sectPr w:rsidR="00FC693F" w:rsidRPr="0006063C" w:rsidSect="00034616">
      <w:pgSz w:w="11909" w:h="16834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anualBullet">
    <w:name w:val="Manual Bullet"/>
    <w:basedOn w:val="ListBullet"/>
    <w:rPr>
      <w:rFonts w:ascii="Aptos" w:hAnsi="Aptos"/>
      <w:sz w:val="22"/>
    </w:rPr>
  </w:style>
  <w:style w:type="paragraph" w:customStyle="1" w:styleId="ManualNumber">
    <w:name w:val="Manual Number"/>
    <w:basedOn w:val="ListNumber"/>
    <w:rPr>
      <w:rFonts w:ascii="Aptos" w:hAnsi="Aptos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