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RPL Dashboard Manual</w:t>
      </w:r>
    </w:p>
    <w:p/>
    <w:p>
      <w:r>
        <w:t xml:space="preserve">Audience: </w:t>
      </w:r>
      <w:r>
        <w:rPr>
          <w:rFonts w:ascii="Consolas" w:hAnsi="Consolas"/>
        </w:rPr>
        <w:t>RPL</w:t>
      </w:r>
      <w:r>
        <w:t xml:space="preserve"> users</w:t>
      </w:r>
    </w:p>
    <w:p>
      <w:r>
        <w:t>Scope: KPI monitoring, reporting, exports, and case study management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About this guide</w:t>
      </w:r>
    </w:p>
    <w:p>
      <w:r>
        <w:t>Regional Programme Leads use the dashboard to monitor performance, review trends, and prepare evidence for reporting.</w:t>
      </w:r>
    </w:p>
    <w:p/>
    <w:p>
      <w:r>
        <w:t>RPL access includes: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RPL users cannot access: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t>personal data anywhere on the dashboard</w:t>
      </w:r>
    </w:p>
    <w:p/>
    <w:p>
      <w:pPr>
        <w:pStyle w:val="Heading1"/>
      </w:pPr>
      <w:r>
        <w:t>2. Getting started</w:t>
      </w:r>
    </w:p>
    <w:p>
      <w:pPr>
        <w:pStyle w:val="ManualNumber"/>
      </w:pPr>
      <w:r>
        <w:t>Sign in with your email address and password.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sidebar to choose the screen you need.</w:t>
      </w:r>
    </w:p>
    <w:p>
      <w:pPr>
        <w:pStyle w:val="ManualNumber"/>
      </w:pPr>
      <w:r>
        <w:t>If you are not sure where the data is, start with broad filters first.</w:t>
      </w:r>
    </w:p>
    <w:p>
      <w:pPr>
        <w:pStyle w:val="ManualNumber"/>
      </w:pPr>
      <w:r>
        <w:t>Narrow the filters once you know the records are present.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Filters and navigation</w:t>
      </w:r>
    </w:p>
    <w:p>
      <w:r>
        <w:t>Most RPL tasks start in the left sidebar.</w:t>
      </w:r>
    </w:p>
    <w:p/>
    <w:p>
      <w:r>
        <w:t>Main controls: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>
      <w:pPr>
        <w:pStyle w:val="ManualBullet"/>
      </w:pPr>
      <w:r>
        <w:rPr>
          <w:rFonts w:ascii="Consolas" w:hAnsi="Consolas"/>
        </w:rPr>
        <w:t>Timeframe</w:t>
      </w:r>
    </w:p>
    <w:p>
      <w:pPr>
        <w:pStyle w:val="ManualBullet"/>
      </w:pPr>
      <w:r>
        <w:rPr>
          <w:rFonts w:ascii="Consolas" w:hAnsi="Consolas"/>
        </w:rPr>
        <w:t>KPI Section</w:t>
      </w:r>
      <w:r>
        <w:t xml:space="preserve"> on the KPI page</w:t>
      </w:r>
    </w:p>
    <w:p/>
    <w:p>
      <w:r>
        <w:t>Typical timeframe options: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Good practice:</w:t>
      </w:r>
    </w:p>
    <w:p/>
    <w:p>
      <w:pPr>
        <w:pStyle w:val="ManualBullet"/>
      </w:pPr>
      <w:r>
        <w:t>start broad</w:t>
      </w:r>
    </w:p>
    <w:p>
      <w:pPr>
        <w:pStyle w:val="ManualBullet"/>
      </w:pPr>
      <w:r>
        <w:t>confirm the data is there</w:t>
      </w:r>
    </w:p>
    <w:p>
      <w:pPr>
        <w:pStyle w:val="ManualBullet"/>
      </w:pPr>
      <w:r>
        <w:t>then narrow to the period you need</w:t>
      </w:r>
    </w:p>
    <w:p/>
    <w:p>
      <w:pPr>
        <w:pStyle w:val="Heading1"/>
      </w:pPr>
      <w:r>
        <w:t>4. KPI Dashboard</w:t>
      </w:r>
    </w:p>
    <w:p>
      <w:r>
        <w:t>The KPI Dashboard is the quickest way to review headline figures.</w:t>
      </w:r>
    </w:p>
    <w:p/>
    <w:p>
      <w:pPr>
        <w:pStyle w:val="Heading2"/>
      </w:pPr>
      <w:r>
        <w:t>4.1 KPI sections</w:t>
      </w:r>
    </w:p>
    <w:p>
      <w:r>
        <w:t xml:space="preserve">Use </w:t>
      </w:r>
      <w:r>
        <w:rPr>
          <w:rFonts w:ascii="Consolas" w:hAnsi="Consolas"/>
        </w:rPr>
        <w:t>KPI Section</w:t>
      </w:r>
      <w:r>
        <w:t xml:space="preserve"> to move between: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Comms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pPr>
        <w:pStyle w:val="Heading2"/>
      </w:pPr>
      <w:r>
        <w:t>4.2 Drill-down</w:t>
      </w:r>
    </w:p>
    <w:p>
      <w:r>
        <w:t>Click a KPI card to open the records behind the number.</w:t>
      </w:r>
    </w:p>
    <w:p/>
    <w:p>
      <w:r>
        <w:t>Typical flow:</w:t>
      </w:r>
    </w:p>
    <w:p/>
    <w:p>
      <w:pPr>
        <w:pStyle w:val="ManualNumber"/>
      </w:pPr>
      <w:r>
        <w:t>Click the KPI card.</w:t>
      </w:r>
    </w:p>
    <w:p>
      <w:pPr>
        <w:pStyle w:val="ManualNumber"/>
      </w:pPr>
      <w:r>
        <w:t>Review the list of records.</w:t>
      </w:r>
    </w:p>
    <w:p>
      <w:pPr>
        <w:pStyle w:val="ManualNumber"/>
      </w:pPr>
      <w:r>
        <w:t>Select a record to read more about it.</w:t>
      </w:r>
    </w:p>
    <w:p/>
    <w:p>
      <w:r>
        <w:t>Use drill-down when:</w:t>
      </w:r>
    </w:p>
    <w:p/>
    <w:p>
      <w:pPr>
        <w:pStyle w:val="ManualBullet"/>
      </w:pPr>
      <w:r>
        <w:t>a number looks unexpectedly high or low</w:t>
      </w:r>
    </w:p>
    <w:p>
      <w:pPr>
        <w:pStyle w:val="ManualBullet"/>
      </w:pPr>
      <w:r>
        <w:t>you want to check what is included in a total</w:t>
      </w:r>
    </w:p>
    <w:p>
      <w:pPr>
        <w:pStyle w:val="ManualBullet"/>
      </w:pPr>
      <w:r>
        <w:t>you need confidence before sharing a figure</w:t>
      </w:r>
    </w:p>
    <w:p/>
    <w:p>
      <w:pPr>
        <w:pStyle w:val="Heading2"/>
      </w:pPr>
      <w:r>
        <w:t>4.3 Privacy limit for RPL users</w:t>
      </w:r>
    </w:p>
    <w:p>
      <w:r>
        <w:t>RPL users can review summary information and supporting records, but they should not see personal data anywhere in the dashboard.</w:t>
      </w:r>
    </w:p>
    <w:p/>
    <w:p>
      <w:r>
        <w:t>This means:</w:t>
      </w:r>
    </w:p>
    <w:p/>
    <w:p>
      <w:pPr>
        <w:pStyle w:val="ManualBullet"/>
      </w:pPr>
      <w:r>
        <w:t>no participant names</w:t>
      </w:r>
    </w:p>
    <w:p>
      <w:pPr>
        <w:pStyle w:val="ManualBullet"/>
      </w:pPr>
      <w:r>
        <w:t>no participant IDs</w:t>
      </w:r>
    </w:p>
    <w:p>
      <w:pPr>
        <w:pStyle w:val="ManualBullet"/>
      </w:pPr>
      <w:r>
        <w:t>no postcodes</w:t>
      </w:r>
    </w:p>
    <w:p>
      <w:pPr>
        <w:pStyle w:val="ManualBullet"/>
      </w:pPr>
      <w:r>
        <w:t>no contact information</w:t>
      </w:r>
    </w:p>
    <w:p>
      <w:pPr>
        <w:pStyle w:val="ManualBullet"/>
      </w:pPr>
      <w:r>
        <w:t>no medical information</w:t>
      </w:r>
    </w:p>
    <w:p/>
    <w:p>
      <w:r>
        <w:t>If you need personal or event-level operational detail, ask a Manager or Admin to review it in the correct view.</w:t>
      </w:r>
    </w:p>
    <w:p/>
    <w:p>
      <w:pPr>
        <w:pStyle w:val="Heading2"/>
      </w:pPr>
      <w:r>
        <w:t>4.4 Top-line access and drill-down access</w:t>
      </w:r>
    </w:p>
    <w:p>
      <w:r>
        <w:t>RPL users can still see top-line figures for all regions where the dashboard allows it.</w:t>
      </w:r>
    </w:p>
    <w:p/>
    <w:p>
      <w:r>
        <w:t>Drill-down detail is limited so that:</w:t>
      </w:r>
    </w:p>
    <w:p/>
    <w:p>
      <w:pPr>
        <w:pStyle w:val="ManualBullet"/>
      </w:pPr>
      <w:r>
        <w:t>the summary numbers remain useful</w:t>
      </w:r>
    </w:p>
    <w:p>
      <w:pPr>
        <w:pStyle w:val="ManualBullet"/>
      </w:pPr>
      <w:r>
        <w:t>personal data stays protected</w:t>
      </w:r>
    </w:p>
    <w:p/>
    <w:p>
      <w:pPr>
        <w:pStyle w:val="Heading1"/>
      </w:pPr>
      <w:r>
        <w:t>5.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flexible analysis or an export.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5.1 What you can do</w:t>
      </w:r>
    </w:p>
    <w:p>
      <w:pPr>
        <w:pStyle w:val="ManualBullet"/>
      </w:pPr>
      <w:r>
        <w:t>combine datasets</w:t>
      </w:r>
    </w:p>
    <w:p>
      <w:pPr>
        <w:pStyle w:val="ManualBullet"/>
      </w:pPr>
      <w:r>
        <w:t>build tables and charts</w:t>
      </w:r>
    </w:p>
    <w:p>
      <w:pPr>
        <w:pStyle w:val="ManualBullet"/>
      </w:pPr>
      <w:r>
        <w:t>filter by date and region</w:t>
      </w:r>
    </w:p>
    <w:p>
      <w:pPr>
        <w:pStyle w:val="ManualBullet"/>
      </w:pPr>
      <w:r>
        <w:t>apply advanced controls</w:t>
      </w:r>
    </w:p>
    <w:p>
      <w:pPr>
        <w:pStyle w:val="ManualBullet"/>
      </w:pPr>
      <w:r>
        <w:t>export results to CSV</w:t>
      </w:r>
    </w:p>
    <w:p/>
    <w:p>
      <w:pPr>
        <w:pStyle w:val="Heading2"/>
      </w:pPr>
      <w:r>
        <w:t>5.2 Typical workflow</w:t>
      </w:r>
    </w:p>
    <w:p>
      <w:pPr>
        <w:pStyle w:val="ManualNumber"/>
      </w:pPr>
      <w:r>
        <w:t>Choose the dataset or datasets you need.</w:t>
      </w:r>
    </w:p>
    <w:p>
      <w:pPr>
        <w:pStyle w:val="ManualNumber"/>
      </w:pPr>
      <w:r>
        <w:t>Choose an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Use advanced controls if needed.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>
      <w:pPr>
        <w:pStyle w:val="ManualNumber"/>
      </w:pPr>
      <w:r>
        <w:t>Review the result and export if required.</w:t>
      </w:r>
    </w:p>
    <w:p/>
    <w:p>
      <w:pPr>
        <w:pStyle w:val="Heading2"/>
      </w:pPr>
      <w:r>
        <w:t>5.3 Distance Analysis</w:t>
      </w:r>
    </w:p>
    <w:p>
      <w:r>
        <w:t>Distance Analysis helps you understand how far participants travel to events.</w:t>
      </w:r>
    </w:p>
    <w:p/>
    <w:p>
      <w:r>
        <w:t>It can show:</w:t>
      </w:r>
    </w:p>
    <w:p/>
    <w:p>
      <w:pPr>
        <w:pStyle w:val="ManualBullet"/>
      </w:pPr>
      <w:r>
        <w:t>number of journeys</w:t>
      </w:r>
    </w:p>
    <w:p>
      <w:pPr>
        <w:pStyle w:val="ManualBullet"/>
      </w:pPr>
      <w:r>
        <w:t>average, median, and maximum distance</w:t>
      </w:r>
    </w:p>
    <w:p>
      <w:pPr>
        <w:pStyle w:val="ManualBullet"/>
      </w:pPr>
      <w:r>
        <w:t>distance bands</w:t>
      </w:r>
    </w:p>
    <w:p>
      <w:pPr>
        <w:pStyle w:val="ManualBullet"/>
      </w:pPr>
      <w:r>
        <w:t>events ranked by average travel distance</w:t>
      </w:r>
    </w:p>
    <w:p/>
    <w:p>
      <w:r>
        <w:t>Because RPL users should not see personal data, do not expect personal journey details to appear.</w:t>
      </w:r>
    </w:p>
    <w:p/>
    <w:p>
      <w:pPr>
        <w:pStyle w:val="Heading1"/>
      </w:pPr>
      <w:r>
        <w:t>6. Case Studies</w:t>
      </w:r>
    </w:p>
    <w:p>
      <w:r>
        <w:t>Case Studies helps you add stories alongside the numbers.</w:t>
      </w:r>
    </w:p>
    <w:p/>
    <w:p>
      <w:r>
        <w:t>Use it to:</w:t>
      </w:r>
    </w:p>
    <w:p/>
    <w:p>
      <w:pPr>
        <w:pStyle w:val="ManualBullet"/>
      </w:pPr>
      <w:r>
        <w:t>read stories and testimonials</w:t>
      </w:r>
    </w:p>
    <w:p>
      <w:pPr>
        <w:pStyle w:val="ManualBullet"/>
      </w:pPr>
      <w:r>
        <w:t>filter by date and region</w:t>
      </w:r>
    </w:p>
    <w:p>
      <w:pPr>
        <w:pStyle w:val="ManualBullet"/>
      </w:pPr>
      <w:r>
        <w:t>upload a new case study</w:t>
      </w:r>
    </w:p>
    <w:p/>
    <w:p>
      <w:r>
        <w:t>Suggested 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Check whether the story is already there.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Enter the correct date.</w:t>
      </w:r>
    </w:p>
    <w:p>
      <w:pPr>
        <w:pStyle w:val="ManualNumber"/>
      </w:pPr>
      <w:r>
        <w:t>Choose the correct region.</w:t>
      </w:r>
    </w:p>
    <w:p>
      <w:pPr>
        <w:pStyle w:val="ManualNumber"/>
      </w:pPr>
      <w:r>
        <w:t>Submit the form.</w:t>
      </w:r>
    </w:p>
    <w:p/>
    <w:p>
      <w:pPr>
        <w:pStyle w:val="Heading1"/>
      </w:pPr>
      <w:r>
        <w:t>7. Common RPL tasks</w:t>
      </w:r>
    </w:p>
    <w:p>
      <w:pPr>
        <w:pStyle w:val="Heading2"/>
      </w:pPr>
      <w:r>
        <w:t>Check a KPI before a meeting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Choose the right section.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Open the KPI card and review the supporting records.</w:t>
      </w:r>
    </w:p>
    <w:p/>
    <w:p>
      <w:pPr>
        <w:pStyle w:val="Heading2"/>
      </w:pPr>
      <w:r>
        <w:t>Export data for offline analysis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dataset and output type.</w:t>
      </w:r>
    </w:p>
    <w:p>
      <w:pPr>
        <w:pStyle w:val="ManualNumber"/>
      </w:pPr>
      <w:r>
        <w:t>Apply the filters.</w:t>
      </w:r>
    </w:p>
    <w:p>
      <w:pPr>
        <w:pStyle w:val="ManualNumber"/>
      </w:pPr>
      <w:r>
        <w:t>Refine if needed.</w:t>
      </w:r>
    </w:p>
    <w:p>
      <w:pPr>
        <w:pStyle w:val="ManualNumber"/>
      </w:pPr>
      <w:r>
        <w:t>Download the CSV.</w:t>
      </w:r>
    </w:p>
    <w:p/>
    <w:p>
      <w:pPr>
        <w:pStyle w:val="Heading2"/>
      </w:pPr>
      <w:r>
        <w:t>Add a case study to support a report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Check for duplicates first.</w:t>
      </w:r>
    </w:p>
    <w:p>
      <w:pPr>
        <w:pStyle w:val="ManualNumber"/>
      </w:pPr>
      <w:r>
        <w:t>Upload the new story with a clear title and date.</w:t>
      </w:r>
    </w:p>
    <w:p/>
    <w:p>
      <w:pPr>
        <w:pStyle w:val="Heading1"/>
      </w:pPr>
      <w:r>
        <w:t>8. Troubleshooting</w:t>
      </w:r>
    </w:p>
    <w:p>
      <w:pPr>
        <w:pStyle w:val="Heading2"/>
      </w:pPr>
      <w:r>
        <w:t>No KPI data is showing</w:t>
      </w:r>
    </w:p>
    <w:p>
      <w:pPr>
        <w:pStyle w:val="ManualBullet"/>
      </w:pPr>
      <w:r>
        <w:t>check the region and timeframe</w:t>
      </w:r>
    </w:p>
    <w:p>
      <w:pPr>
        <w:pStyle w:val="ManualBullet"/>
      </w:pPr>
      <w:r>
        <w:t xml:space="preserve">try </w:t>
      </w:r>
      <w:r>
        <w:rPr>
          <w:rFonts w:ascii="Consolas" w:hAnsi="Consolas"/>
        </w:rPr>
        <w:t>All Regions</w:t>
      </w:r>
    </w:p>
    <w:p>
      <w:pPr>
        <w:pStyle w:val="ManualBullet"/>
      </w:pPr>
      <w:r>
        <w:t xml:space="preserve">try </w:t>
      </w:r>
      <w:r>
        <w:rPr>
          <w:rFonts w:ascii="Consolas" w:hAnsi="Consolas"/>
        </w:rPr>
        <w:t>All Time</w:t>
      </w:r>
    </w:p>
    <w:p>
      <w:pPr>
        <w:pStyle w:val="ManualBullet"/>
      </w:pPr>
      <w:r>
        <w:t>make sure you are in the correct KPI section</w:t>
      </w:r>
    </w:p>
    <w:p/>
    <w:p>
      <w:pPr>
        <w:pStyle w:val="Heading2"/>
      </w:pPr>
      <w:r>
        <w:t>The report looks unchanged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options</w:t>
      </w:r>
    </w:p>
    <w:p/>
    <w:p>
      <w:pPr>
        <w:pStyle w:val="Heading2"/>
      </w:pPr>
      <w:r>
        <w:t>Distance Analysis shows no rows</w:t>
      </w:r>
    </w:p>
    <w:p>
      <w:pPr>
        <w:pStyle w:val="ManualBullet"/>
      </w:pPr>
      <w:r>
        <w:t xml:space="preserve">make sure </w:t>
      </w:r>
      <w:r>
        <w:rPr>
          <w:rFonts w:ascii="Consolas" w:hAnsi="Consolas"/>
        </w:rPr>
        <w:t>Events</w:t>
      </w:r>
      <w:r>
        <w:t xml:space="preserve"> is included</w:t>
      </w:r>
    </w:p>
    <w:p>
      <w:pPr>
        <w:pStyle w:val="ManualBullet"/>
      </w:pPr>
      <w:r>
        <w:t>widen the date range</w:t>
      </w:r>
    </w:p>
    <w:p>
      <w:pPr>
        <w:pStyle w:val="ManualBullet"/>
      </w:pPr>
      <w:r>
        <w:t>check whether postcode data is missing</w:t>
      </w:r>
    </w:p>
    <w:p/>
    <w:p>
      <w:pPr>
        <w:pStyle w:val="Heading2"/>
      </w:pPr>
      <w:r>
        <w:t>I cannot see participant names</w:t>
      </w:r>
    </w:p>
    <w:p>
      <w:pPr>
        <w:pStyle w:val="ManualBullet"/>
      </w:pPr>
      <w:r>
        <w:t>that is expected for the RPL role</w:t>
      </w:r>
    </w:p>
    <w:p/>
    <w:p>
      <w:pPr>
        <w:pStyle w:val="Heading1"/>
      </w:pPr>
      <w:r>
        <w:t>9. Good working practice</w:t>
      </w:r>
    </w:p>
    <w:p>
      <w:pPr>
        <w:pStyle w:val="ManualBullet"/>
      </w:pPr>
      <w:r>
        <w:t>use KPI for fast monitoring</w:t>
      </w:r>
    </w:p>
    <w:p>
      <w:pPr>
        <w:pStyle w:val="ManualBullet"/>
      </w:pPr>
      <w:r>
        <w:t>use Custom Reports for deeper analysis</w:t>
      </w:r>
    </w:p>
    <w:p>
      <w:pPr>
        <w:pStyle w:val="ManualBullet"/>
      </w:pPr>
      <w:r>
        <w:t>validate unusual numbers before sharing them</w:t>
      </w:r>
    </w:p>
    <w:p>
      <w:pPr>
        <w:pStyle w:val="ManualBullet"/>
      </w:pPr>
      <w:r>
        <w:t>add a case study when a report needs supporting narrative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