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Regional KPI Dashboard Manual</w:t>
      </w:r>
    </w:p>
    <w:p/>
    <w:p>
      <w:r>
        <w:t xml:space="preserve">Combined handbook for </w:t>
      </w:r>
      <w:r>
        <w:rPr>
          <w:rFonts w:ascii="Consolas" w:hAnsi="Consolas"/>
        </w:rPr>
        <w:t>RPL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Admin</w:t>
      </w:r>
      <w:r>
        <w:t xml:space="preserve">, and </w:t>
      </w:r>
      <w:r>
        <w:rPr>
          <w:rFonts w:ascii="Consolas" w:hAnsi="Consolas"/>
        </w:rPr>
        <w:t>Funder</w:t>
      </w:r>
      <w:r>
        <w:t xml:space="preserve"> users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Purpose</w:t>
      </w:r>
    </w:p>
    <w:p>
      <w:r>
        <w:t>This document is the master guide for the Regional KPI Dashboard. Use it when:</w:t>
      </w:r>
    </w:p>
    <w:p/>
    <w:p>
      <w:pPr>
        <w:pStyle w:val="ManualBullet"/>
      </w:pPr>
      <w:r>
        <w:t>onboarding multiple user types</w:t>
      </w:r>
    </w:p>
    <w:p>
      <w:pPr>
        <w:pStyle w:val="ManualBullet"/>
      </w:pPr>
      <w:r>
        <w:t>supporting staff across roles</w:t>
      </w:r>
    </w:p>
    <w:p>
      <w:pPr>
        <w:pStyle w:val="ManualBullet"/>
      </w:pPr>
      <w:r>
        <w:t>checking which role should perform a task</w:t>
      </w:r>
    </w:p>
    <w:p>
      <w:pPr>
        <w:pStyle w:val="ManualBullet"/>
      </w:pPr>
      <w:r>
        <w:t>needing one handbook instead of several short manuals</w:t>
      </w:r>
    </w:p>
    <w:p/>
    <w:p>
      <w:pPr>
        <w:pStyle w:val="Heading1"/>
      </w:pPr>
      <w:r>
        <w:t>2. Dashboard areas</w:t>
      </w:r>
    </w:p>
    <w:p>
      <w:r>
        <w:t>The application is organised into these views: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 xml:space="preserve">Most users move between views using </w:t>
      </w:r>
      <w:r>
        <w:rPr>
          <w:rFonts w:ascii="Consolas" w:hAnsi="Consolas"/>
        </w:rPr>
        <w:t>View Mode</w:t>
      </w:r>
      <w:r>
        <w:t xml:space="preserve"> in the left sidebar.</w:t>
      </w:r>
    </w:p>
    <w:p/>
    <w:p>
      <w:pPr>
        <w:pStyle w:val="Heading1"/>
      </w:pPr>
      <w:r>
        <w:t>3. Shared concepts</w:t>
      </w:r>
    </w:p>
    <w:p>
      <w:pPr>
        <w:pStyle w:val="Heading2"/>
      </w:pPr>
      <w:r>
        <w:t>Region and timeframe</w:t>
      </w:r>
    </w:p>
    <w:p>
      <w:r>
        <w:t>Most operational screens use:</w:t>
      </w:r>
    </w:p>
    <w:p/>
    <w:p>
      <w:pPr>
        <w:pStyle w:val="ManualBullet"/>
      </w:pPr>
      <w:r>
        <w:t>region selection</w:t>
      </w:r>
    </w:p>
    <w:p>
      <w:pPr>
        <w:pStyle w:val="ManualBullet"/>
      </w:pPr>
      <w:r>
        <w:t>timeframe selection</w:t>
      </w:r>
    </w:p>
    <w:p/>
    <w:p>
      <w:r>
        <w:t>When investigating missing data, start broad, then narrow.</w:t>
      </w:r>
    </w:p>
    <w:p/>
    <w:p>
      <w:pPr>
        <w:pStyle w:val="Heading2"/>
      </w:pPr>
      <w:r>
        <w:t>Drill-down</w:t>
      </w:r>
    </w:p>
    <w:p>
      <w:r>
        <w:t>KPI cards can open a detailed popup showing the source rows behind a number.</w:t>
      </w:r>
    </w:p>
    <w:p/>
    <w:p>
      <w:pPr>
        <w:pStyle w:val="Heading2"/>
      </w:pPr>
      <w:r>
        <w:t>Last Data Refresh</w:t>
      </w:r>
    </w:p>
    <w:p>
      <w:r>
        <w:t>The sidebar includes a refresh status card showing how current the dashboard data is.</w:t>
      </w:r>
    </w:p>
    <w:p/>
    <w:p>
      <w:pPr>
        <w:pStyle w:val="Heading2"/>
      </w:pPr>
      <w:r>
        <w:t>Audit logging</w:t>
      </w:r>
    </w:p>
    <w:p>
      <w:r>
        <w:t>Major changes and important interactions are recorded for governance and support.</w:t>
      </w:r>
    </w:p>
    <w:p/>
    <w:p>
      <w:pPr>
        <w:pStyle w:val="Heading1"/>
      </w:pPr>
      <w:r>
        <w:t>4. Role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t>Role</w:t>
            </w:r>
          </w:p>
        </w:tc>
        <w:tc>
          <w:tcPr>
            <w:tcW w:type="dxa" w:w="2401"/>
          </w:tcPr>
          <w:p>
            <w:r>
              <w:t>Main views</w:t>
            </w:r>
          </w:p>
        </w:tc>
        <w:tc>
          <w:tcPr>
            <w:tcW w:type="dxa" w:w="2401"/>
          </w:tcPr>
          <w:p>
            <w:r>
              <w:t>Typical purpose</w:t>
            </w:r>
          </w:p>
        </w:tc>
        <w:tc>
          <w:tcPr>
            <w:tcW w:type="dxa" w:w="2401"/>
          </w:tcPr>
          <w:p>
            <w:r>
              <w:t>Key restrictions</w:t>
            </w:r>
          </w:p>
        </w:tc>
      </w:tr>
      <w:tr>
        <w:tc>
          <w:tcPr>
            <w:tcW w:type="dxa" w:w="2401"/>
          </w:tcPr>
          <w:p>
            <w:r>
              <w:t>`RPL`</w:t>
            </w:r>
          </w:p>
        </w:tc>
        <w:tc>
          <w:tcPr>
            <w:tcW w:type="dxa" w:w="2401"/>
          </w:tcPr>
          <w:p>
            <w:r>
              <w:t>KPI, Custom Reports, Case Studies</w:t>
            </w:r>
          </w:p>
        </w:tc>
        <w:tc>
          <w:tcPr>
            <w:tcW w:type="dxa" w:w="2401"/>
          </w:tcPr>
          <w:p>
            <w:r>
              <w:t>regional monitoring and self-service reporting</w:t>
            </w:r>
          </w:p>
        </w:tc>
        <w:tc>
          <w:tcPr>
            <w:tcW w:type="dxa" w:w="2401"/>
          </w:tcPr>
          <w:p>
            <w:r>
              <w:t>no Admin, no ML, no named attendee detail in KPI participant drill-down</w:t>
            </w:r>
          </w:p>
        </w:tc>
      </w:tr>
      <w:tr>
        <w:tc>
          <w:tcPr>
            <w:tcW w:type="dxa" w:w="2401"/>
          </w:tcPr>
          <w:p>
            <w:r>
              <w:t>`Manager`</w:t>
            </w:r>
          </w:p>
        </w:tc>
        <w:tc>
          <w:tcPr>
            <w:tcW w:type="dxa" w:w="2401"/>
          </w:tcPr>
          <w:p>
            <w:r>
              <w:t>KPI, Custom Reports, Case Studies, Funder, ML</w:t>
            </w:r>
          </w:p>
        </w:tc>
        <w:tc>
          <w:tcPr>
            <w:tcW w:type="dxa" w:w="2401"/>
          </w:tcPr>
          <w:p>
            <w:r>
              <w:t>operational management and validation</w:t>
            </w:r>
          </w:p>
        </w:tc>
        <w:tc>
          <w:tcPr>
            <w:tcW w:type="dxa" w:w="2401"/>
          </w:tcPr>
          <w:p>
            <w:r>
              <w:t>no Admin</w:t>
            </w:r>
          </w:p>
        </w:tc>
      </w:tr>
      <w:tr>
        <w:tc>
          <w:tcPr>
            <w:tcW w:type="dxa" w:w="2401"/>
          </w:tcPr>
          <w:p>
            <w:r>
              <w:t>`ML`</w:t>
            </w:r>
          </w:p>
        </w:tc>
        <w:tc>
          <w:tcPr>
            <w:tcW w:type="dxa" w:w="2401"/>
          </w:tcPr>
          <w:p>
            <w:r>
              <w:t>ML, Case Studies</w:t>
            </w:r>
          </w:p>
        </w:tc>
        <w:tc>
          <w:tcPr>
            <w:tcW w:type="dxa" w:w="2401"/>
          </w:tcPr>
          <w:p>
            <w:r>
              <w:t>event-by-event operational review</w:t>
            </w:r>
          </w:p>
        </w:tc>
        <w:tc>
          <w:tcPr>
            <w:tcW w:type="dxa" w:w="2401"/>
          </w:tcPr>
          <w:p>
            <w:r>
              <w:t>no KPI, reports, funder, or admin views</w:t>
            </w:r>
          </w:p>
        </w:tc>
      </w:tr>
      <w:tr>
        <w:tc>
          <w:tcPr>
            <w:tcW w:type="dxa" w:w="2401"/>
          </w:tcPr>
          <w:p>
            <w:r>
              <w:t>`Admin`</w:t>
            </w:r>
          </w:p>
        </w:tc>
        <w:tc>
          <w:tcPr>
            <w:tcW w:type="dxa" w:w="2401"/>
          </w:tcPr>
          <w:p>
            <w:r>
              <w:t>all views</w:t>
            </w:r>
          </w:p>
        </w:tc>
        <w:tc>
          <w:tcPr>
            <w:tcW w:type="dxa" w:w="2401"/>
          </w:tcPr>
          <w:p>
            <w:r>
              <w:t>access management, data operations, full reporting</w:t>
            </w:r>
          </w:p>
        </w:tc>
        <w:tc>
          <w:tcPr>
            <w:tcW w:type="dxa" w:w="2401"/>
          </w:tcPr>
          <w:p>
            <w:r>
              <w:t>highest responsibility, use admin actions carefully</w:t>
            </w:r>
          </w:p>
        </w:tc>
      </w:tr>
      <w:tr>
        <w:tc>
          <w:tcPr>
            <w:tcW w:type="dxa" w:w="2401"/>
          </w:tcPr>
          <w:p>
            <w:r>
              <w:t>`Funder`</w:t>
            </w:r>
          </w:p>
        </w:tc>
        <w:tc>
          <w:tcPr>
            <w:tcW w:type="dxa" w:w="2401"/>
          </w:tcPr>
          <w:p>
            <w:r>
              <w:t>Funder only</w:t>
            </w:r>
          </w:p>
        </w:tc>
        <w:tc>
          <w:tcPr>
            <w:tcW w:type="dxa" w:w="2401"/>
          </w:tcPr>
          <w:p>
            <w:r>
              <w:t>aggregated funding summary</w:t>
            </w:r>
          </w:p>
        </w:tc>
        <w:tc>
          <w:tcPr>
            <w:tcW w:type="dxa" w:w="2401"/>
          </w:tcPr>
          <w:p>
            <w:r>
              <w:t>no operational drill-down or personal data</w:t>
            </w:r>
          </w:p>
        </w:tc>
      </w:tr>
    </w:tbl>
    <w:p/>
    <w:p>
      <w:pPr>
        <w:pStyle w:val="Heading1"/>
      </w:pPr>
      <w:r>
        <w:t>5. Screen guide</w:t>
      </w:r>
    </w:p>
    <w:p>
      <w:pPr>
        <w:pStyle w:val="Heading2"/>
      </w:pPr>
      <w:r>
        <w:t>KPI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headline KPIs</w:t>
      </w:r>
    </w:p>
    <w:p>
      <w:pPr>
        <w:pStyle w:val="ManualBullet"/>
      </w:pPr>
      <w:r>
        <w:t>governance and delivery review</w:t>
      </w:r>
    </w:p>
    <w:p>
      <w:pPr>
        <w:pStyle w:val="ManualBullet"/>
      </w:pPr>
      <w:r>
        <w:t>validating figures with drill-down</w:t>
      </w:r>
    </w:p>
    <w:p/>
    <w:p>
      <w:pPr>
        <w:pStyle w:val="Heading2"/>
      </w:pPr>
      <w:r>
        <w:t>Custom Reports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tables and charts</w:t>
      </w:r>
    </w:p>
    <w:p>
      <w:pPr>
        <w:pStyle w:val="ManualBullet"/>
      </w:pPr>
      <w:r>
        <w:t>advanced filtering</w:t>
      </w:r>
    </w:p>
    <w:p>
      <w:pPr>
        <w:pStyle w:val="ManualBullet"/>
      </w:pPr>
      <w:r>
        <w:t>CSV export</w:t>
      </w:r>
    </w:p>
    <w:p>
      <w:pPr>
        <w:pStyle w:val="ManualBullet"/>
      </w:pPr>
      <w:r>
        <w:t>distance analysis</w:t>
      </w:r>
    </w:p>
    <w:p/>
    <w:p>
      <w:pPr>
        <w:pStyle w:val="Heading2"/>
      </w:pPr>
      <w:r>
        <w:t>ML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selecting one event</w:t>
      </w:r>
    </w:p>
    <w:p>
      <w:pPr>
        <w:pStyle w:val="ManualBullet"/>
      </w:pPr>
      <w:r>
        <w:t>reviewing attendees</w:t>
      </w:r>
    </w:p>
    <w:p>
      <w:pPr>
        <w:pStyle w:val="ManualBullet"/>
      </w:pPr>
      <w:r>
        <w:t>checking medical and emergency information where available</w:t>
      </w:r>
    </w:p>
    <w:p/>
    <w:p>
      <w:pPr>
        <w:pStyle w:val="Heading2"/>
      </w:pPr>
      <w:r>
        <w:t>Funder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GDPR-safe sponsor reporting</w:t>
      </w:r>
    </w:p>
    <w:p>
      <w:pPr>
        <w:pStyle w:val="ManualBullet"/>
      </w:pPr>
      <w:r>
        <w:t>bids submitted</w:t>
      </w:r>
    </w:p>
    <w:p>
      <w:pPr>
        <w:pStyle w:val="ManualBullet"/>
      </w:pPr>
      <w:r>
        <w:t>funds raised</w:t>
      </w:r>
    </w:p>
    <w:p>
      <w:pPr>
        <w:pStyle w:val="ManualBullet"/>
      </w:pPr>
      <w:r>
        <w:t>income trend</w:t>
      </w:r>
    </w:p>
    <w:p/>
    <w:p>
      <w:pPr>
        <w:pStyle w:val="Heading2"/>
      </w:pPr>
      <w:r>
        <w:t>Admin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user administration</w:t>
      </w:r>
    </w:p>
    <w:p>
      <w:pPr>
        <w:pStyle w:val="ManualBullet"/>
      </w:pPr>
      <w:r>
        <w:t>password reset handling</w:t>
      </w:r>
    </w:p>
    <w:p>
      <w:pPr>
        <w:pStyle w:val="ManualBullet"/>
      </w:pPr>
      <w:r>
        <w:t>sync monitoring and control</w:t>
      </w:r>
    </w:p>
    <w:p>
      <w:pPr>
        <w:pStyle w:val="ManualBullet"/>
      </w:pPr>
      <w:r>
        <w:t>audit review</w:t>
      </w:r>
    </w:p>
    <w:p/>
    <w:p>
      <w:pPr>
        <w:pStyle w:val="Heading1"/>
      </w:pPr>
      <w:r>
        <w:t>6. Role-by-role operating guide</w:t>
      </w:r>
    </w:p>
    <w:p>
      <w:pPr>
        <w:pStyle w:val="Heading2"/>
      </w:pPr>
      <w:r>
        <w:t>RPL</w:t>
      </w:r>
    </w:p>
    <w:p>
      <w:r>
        <w:t>Use RPL access for:</w:t>
      </w:r>
    </w:p>
    <w:p/>
    <w:p>
      <w:pPr>
        <w:pStyle w:val="ManualBullet"/>
      </w:pPr>
      <w:r>
        <w:t>KPI monitoring</w:t>
      </w:r>
    </w:p>
    <w:p>
      <w:pPr>
        <w:pStyle w:val="ManualBullet"/>
      </w:pPr>
      <w:r>
        <w:t>self-service reports</w:t>
      </w:r>
    </w:p>
    <w:p>
      <w:pPr>
        <w:pStyle w:val="ManualBullet"/>
      </w:pPr>
      <w:r>
        <w:t>CSV export</w:t>
      </w:r>
    </w:p>
    <w:p>
      <w:pPr>
        <w:pStyle w:val="ManualBullet"/>
      </w:pPr>
      <w:r>
        <w:t>case study uploads</w:t>
      </w:r>
    </w:p>
    <w:p/>
    <w:p>
      <w:r>
        <w:t>RPL users should move from KPI to Custom Reports when they need more than a headline number.</w:t>
      </w:r>
    </w:p>
    <w:p/>
    <w:p>
      <w:pPr>
        <w:pStyle w:val="Heading2"/>
      </w:pPr>
      <w:r>
        <w:t>Manager</w:t>
      </w:r>
    </w:p>
    <w:p>
      <w:r>
        <w:t>Use Manager access for:</w:t>
      </w:r>
    </w:p>
    <w:p/>
    <w:p>
      <w:pPr>
        <w:pStyle w:val="ManualBullet"/>
      </w:pPr>
      <w:r>
        <w:t>KPI validation</w:t>
      </w:r>
    </w:p>
    <w:p>
      <w:pPr>
        <w:pStyle w:val="ManualBullet"/>
      </w:pPr>
      <w:r>
        <w:t>event and participant investigation</w:t>
      </w:r>
    </w:p>
    <w:p>
      <w:pPr>
        <w:pStyle w:val="ManualBullet"/>
      </w:pPr>
      <w:r>
        <w:t>sponsor-facing review</w:t>
      </w:r>
    </w:p>
    <w:p>
      <w:pPr>
        <w:pStyle w:val="ManualBullet"/>
      </w:pPr>
      <w:r>
        <w:t>broader operational analysis</w:t>
      </w:r>
    </w:p>
    <w:p/>
    <w:p>
      <w:r>
        <w:t>Managers can see attendee names and IDs in KPI delivery drill-downs where the data exists.</w:t>
      </w:r>
    </w:p>
    <w:p/>
    <w:p>
      <w:pPr>
        <w:pStyle w:val="Heading2"/>
      </w:pPr>
      <w:r>
        <w:t>ML</w:t>
      </w:r>
    </w:p>
    <w:p>
      <w:r>
        <w:t>Use ML access for:</w:t>
      </w:r>
    </w:p>
    <w:p/>
    <w:p>
      <w:pPr>
        <w:pStyle w:val="ManualBullet"/>
      </w:pPr>
      <w:r>
        <w:t>reviewing one event at a time</w:t>
      </w:r>
    </w:p>
    <w:p>
      <w:pPr>
        <w:pStyle w:val="ManualBullet"/>
      </w:pPr>
      <w:r>
        <w:t>checking participant information before delivery</w:t>
      </w:r>
    </w:p>
    <w:p>
      <w:pPr>
        <w:pStyle w:val="ManualBullet"/>
      </w:pPr>
      <w:r>
        <w:t>reading or adding case studies</w:t>
      </w:r>
    </w:p>
    <w:p/>
    <w:p>
      <w:pPr>
        <w:pStyle w:val="Heading2"/>
      </w:pPr>
      <w:r>
        <w:t>Admin</w:t>
      </w:r>
    </w:p>
    <w:p>
      <w:r>
        <w:t>Use Admin access for:</w:t>
      </w:r>
    </w:p>
    <w:p/>
    <w:p>
      <w:pPr>
        <w:pStyle w:val="ManualBullet"/>
      </w:pPr>
      <w:r>
        <w:t>creating and updating users</w:t>
      </w:r>
    </w:p>
    <w:p>
      <w:pPr>
        <w:pStyle w:val="ManualBullet"/>
      </w:pPr>
      <w:r>
        <w:t>resetting passwords</w:t>
      </w:r>
    </w:p>
    <w:p>
      <w:pPr>
        <w:pStyle w:val="ManualBullet"/>
      </w:pPr>
      <w:r>
        <w:t>running sync checks and manual refresh activity</w:t>
      </w:r>
    </w:p>
    <w:p>
      <w:pPr>
        <w:pStyle w:val="ManualBullet"/>
      </w:pPr>
      <w:r>
        <w:t>reviewing audit logs</w:t>
      </w:r>
    </w:p>
    <w:p/>
    <w:p>
      <w:pPr>
        <w:pStyle w:val="Heading2"/>
      </w:pPr>
      <w:r>
        <w:t>Funder</w:t>
      </w:r>
    </w:p>
    <w:p>
      <w:r>
        <w:t>Use Funder access for:</w:t>
      </w:r>
    </w:p>
    <w:p/>
    <w:p>
      <w:pPr>
        <w:pStyle w:val="ManualBullet"/>
      </w:pPr>
      <w:r>
        <w:t>summary-level funding oversight</w:t>
      </w:r>
    </w:p>
    <w:p>
      <w:pPr>
        <w:pStyle w:val="ManualBullet"/>
      </w:pPr>
      <w:r>
        <w:t>time-based review of bids and funds raised</w:t>
      </w:r>
    </w:p>
    <w:p>
      <w:pPr>
        <w:pStyle w:val="ManualBullet"/>
      </w:pPr>
      <w:r>
        <w:t>checking refresh recency</w:t>
      </w:r>
    </w:p>
    <w:p/>
    <w:p>
      <w:pPr>
        <w:pStyle w:val="Heading1"/>
      </w:pPr>
      <w:r>
        <w:t>7. Common workflows</w:t>
      </w:r>
    </w:p>
    <w:p>
      <w:pPr>
        <w:pStyle w:val="Heading2"/>
      </w:pPr>
      <w:r>
        <w:t>Check a KPI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correct KPI section.</w:t>
      </w:r>
    </w:p>
    <w:p>
      <w:pPr>
        <w:pStyle w:val="ManualNumber"/>
      </w:pPr>
      <w:r>
        <w:t>Click the KPI card to inspect supporting rows.</w:t>
      </w:r>
    </w:p>
    <w:p/>
    <w:p>
      <w:pPr>
        <w:pStyle w:val="Heading2"/>
      </w:pPr>
      <w:r>
        <w:t>Run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datasets and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Optionally use </w:t>
      </w:r>
      <w:r>
        <w:rPr>
          <w:rFonts w:ascii="Consolas" w:hAnsi="Consolas"/>
        </w:rPr>
        <w:t>Advanced Report Controls</w:t>
      </w:r>
      <w:r>
        <w:t>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Export CSV if required.</w:t>
      </w:r>
    </w:p>
    <w:p/>
    <w:p>
      <w:pPr>
        <w:pStyle w:val="Heading2"/>
      </w:pPr>
      <w:r>
        <w:t>Investigate participant travel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 xml:space="preserve">Set </w:t>
      </w:r>
      <w:r>
        <w:rPr>
          <w:rFonts w:ascii="Consolas" w:hAnsi="Consolas"/>
        </w:rPr>
        <w:t>Output Type</w:t>
      </w:r>
      <w:r>
        <w:t xml:space="preserve"> to </w:t>
      </w:r>
      <w:r>
        <w:rPr>
          <w:rFonts w:ascii="Consolas" w:hAnsi="Consolas"/>
        </w:rPr>
        <w:t>Distance Analysis</w:t>
      </w:r>
      <w:r>
        <w:t>.</w:t>
      </w:r>
    </w:p>
    <w:p>
      <w:pPr>
        <w:pStyle w:val="ManualNumber"/>
      </w:pPr>
      <w:r>
        <w:t xml:space="preserve">Keep </w:t>
      </w:r>
      <w:r>
        <w:rPr>
          <w:rFonts w:ascii="Consolas" w:hAnsi="Consolas"/>
        </w:rPr>
        <w:t>Events</w:t>
      </w:r>
      <w:r>
        <w:t xml:space="preserve"> selected.</w:t>
      </w:r>
    </w:p>
    <w:p>
      <w:pPr>
        <w:pStyle w:val="ManualNumber"/>
      </w:pPr>
      <w:r>
        <w:t>Apply filters.</w:t>
      </w:r>
    </w:p>
    <w:p>
      <w:pPr>
        <w:pStyle w:val="ManualNumber"/>
      </w:pPr>
      <w:r>
        <w:t>Drill down into a selected event.</w:t>
      </w:r>
    </w:p>
    <w:p>
      <w:pPr>
        <w:pStyle w:val="ManualNumber"/>
      </w:pPr>
      <w:r>
        <w:t>Review or export the participant journey rows.</w:t>
      </w:r>
    </w:p>
    <w:p/>
    <w:p>
      <w:pPr>
        <w:pStyle w:val="Heading2"/>
      </w:pPr>
      <w:r>
        <w:t>Review a live or recent event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Review event details and participant information.</w:t>
      </w:r>
    </w:p>
    <w:p/>
    <w:p>
      <w:pPr>
        <w:pStyle w:val="Heading2"/>
      </w:pPr>
      <w:r>
        <w:t>Handle a password reset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Admin Dashboard</w:t>
      </w:r>
      <w:r>
        <w:t>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Set a temporary password.</w:t>
      </w:r>
    </w:p>
    <w:p>
      <w:pPr>
        <w:pStyle w:val="ManualNumber"/>
      </w:pPr>
      <w:r>
        <w:t>Tell the user to change it on next login.</w:t>
      </w:r>
    </w:p>
    <w:p/>
    <w:p>
      <w:pPr>
        <w:pStyle w:val="Heading1"/>
      </w:pPr>
      <w:r>
        <w:t>8. Troubleshooting</w:t>
      </w:r>
    </w:p>
    <w:p>
      <w:pPr>
        <w:pStyle w:val="Heading2"/>
      </w:pPr>
      <w:r>
        <w:t>No data appears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where available</w:t>
      </w:r>
    </w:p>
    <w:p>
      <w:pPr>
        <w:pStyle w:val="ManualBullet"/>
      </w:pPr>
      <w:r>
        <w:t>confirm you are in the correct dashboard view</w:t>
      </w:r>
    </w:p>
    <w:p/>
    <w:p>
      <w:pPr>
        <w:pStyle w:val="Heading2"/>
      </w:pPr>
      <w:r>
        <w:t>Reports do not refresh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</w:p>
    <w:p/>
    <w:p>
      <w:pPr>
        <w:pStyle w:val="Heading2"/>
      </w:pPr>
      <w:r>
        <w:t>Participant names are missing</w:t>
      </w:r>
    </w:p>
    <w:p>
      <w:pPr>
        <w:pStyle w:val="ManualBullet"/>
      </w:pPr>
      <w:r>
        <w:t>not every event provides names in Beacon</w:t>
      </w:r>
    </w:p>
    <w:p>
      <w:pPr>
        <w:pStyle w:val="ManualBullet"/>
      </w:pPr>
      <w:r>
        <w:t>RPL users do not get named attendee detail in KPI participant drill-down</w:t>
      </w:r>
    </w:p>
    <w:p/>
    <w:p>
      <w:pPr>
        <w:pStyle w:val="Heading2"/>
      </w:pPr>
      <w:r>
        <w:t>Dashboard looks stale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>ask an Admin to review sync status if needed</w:t>
      </w:r>
    </w:p>
    <w:p/>
    <w:p>
      <w:pPr>
        <w:pStyle w:val="Heading2"/>
      </w:pPr>
      <w:r>
        <w:t>Funder data looks empty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>confirm the selected or assigned funder has matching records</w:t>
      </w:r>
    </w:p>
    <w:p/>
    <w:p>
      <w:pPr>
        <w:pStyle w:val="Heading1"/>
      </w:pPr>
      <w:r>
        <w:t>9. File guide</w:t>
      </w:r>
    </w:p>
    <w:p>
      <w:r>
        <w:t>Role manuals:</w:t>
      </w:r>
    </w:p>
    <w:p/>
    <w:p>
      <w:pPr>
        <w:pStyle w:val="ManualBullet"/>
      </w:pPr>
      <w:r>
        <w:rPr>
          <w:rFonts w:ascii="Consolas" w:hAnsi="Consolas"/>
        </w:rPr>
        <w:t>docs/manuals/RPL-MANUAL.md</w:t>
      </w:r>
    </w:p>
    <w:p>
      <w:pPr>
        <w:pStyle w:val="ManualBullet"/>
      </w:pPr>
      <w:r>
        <w:rPr>
          <w:rFonts w:ascii="Consolas" w:hAnsi="Consolas"/>
        </w:rPr>
        <w:t>docs/manuals/MANAGER-MANUAL.md</w:t>
      </w:r>
    </w:p>
    <w:p>
      <w:pPr>
        <w:pStyle w:val="ManualBullet"/>
      </w:pPr>
      <w:r>
        <w:rPr>
          <w:rFonts w:ascii="Consolas" w:hAnsi="Consolas"/>
        </w:rPr>
        <w:t>docs/manuals/ML-MANUAL.md</w:t>
      </w:r>
    </w:p>
    <w:p>
      <w:pPr>
        <w:pStyle w:val="ManualBullet"/>
      </w:pPr>
      <w:r>
        <w:rPr>
          <w:rFonts w:ascii="Consolas" w:hAnsi="Consolas"/>
        </w:rPr>
        <w:t>docs/manuals/ADMIN-MANUAL.md</w:t>
      </w:r>
    </w:p>
    <w:p>
      <w:pPr>
        <w:pStyle w:val="ManualBullet"/>
      </w:pPr>
      <w:r>
        <w:rPr>
          <w:rFonts w:ascii="Consolas" w:hAnsi="Consolas"/>
        </w:rPr>
        <w:t>docs/manuals/FUNDER-MANUAL.md</w:t>
      </w:r>
    </w:p>
    <w:p/>
    <w:p>
      <w:r>
        <w:t>Shared visuals:</w:t>
      </w:r>
    </w:p>
    <w:p/>
    <w:p>
      <w:pPr>
        <w:pStyle w:val="ManualBullet"/>
      </w:pPr>
      <w:r>
        <w:rPr>
          <w:rFonts w:ascii="Consolas" w:hAnsi="Consolas"/>
        </w:rPr>
        <w:t>docs/manuals/images/dashboard-navigation.svg</w:t>
      </w:r>
    </w:p>
    <w:p>
      <w:pPr>
        <w:pStyle w:val="ManualBullet"/>
      </w:pPr>
      <w:r>
        <w:rPr>
          <w:rFonts w:ascii="Consolas" w:hAnsi="Consolas"/>
        </w:rPr>
        <w:t>docs/manuals/images/kpi-dashboard-guide.svg</w:t>
      </w:r>
    </w:p>
    <w:p>
      <w:pPr>
        <w:pStyle w:val="ManualBullet"/>
      </w:pPr>
      <w:r>
        <w:rPr>
          <w:rFonts w:ascii="Consolas" w:hAnsi="Consolas"/>
        </w:rPr>
        <w:t>docs/manuals/images/custom-reports-guide.svg</w:t>
      </w:r>
    </w:p>
    <w:p>
      <w:pPr>
        <w:pStyle w:val="ManualBullet"/>
      </w:pPr>
      <w:r>
        <w:rPr>
          <w:rFonts w:ascii="Consolas" w:hAnsi="Consolas"/>
        </w:rPr>
        <w:t>docs/manuals/images/ml-dashboard-guide.svg</w:t>
      </w:r>
    </w:p>
    <w:p>
      <w:pPr>
        <w:pStyle w:val="ManualBullet"/>
      </w:pPr>
      <w:r>
        <w:rPr>
          <w:rFonts w:ascii="Consolas" w:hAnsi="Consolas"/>
        </w:rPr>
        <w:t>docs/manuals/images/funder-dashboard-guide.svg</w:t>
      </w:r>
    </w:p>
    <w:p>
      <w:pPr>
        <w:pStyle w:val="ManualBullet"/>
      </w:pPr>
      <w:r>
        <w:rPr>
          <w:rFonts w:ascii="Consolas" w:hAnsi="Consolas"/>
        </w:rPr>
        <w:t>docs/manuals/images/admin-dashboard-guide.svg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