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Manager Dashboard Manual</w:t>
      </w:r>
    </w:p>
    <w:p/>
    <w:p>
      <w:r>
        <w:t xml:space="preserve">Audience: </w:t>
      </w:r>
      <w:r>
        <w:rPr>
          <w:rFonts w:ascii="Consolas" w:hAnsi="Consolas"/>
        </w:rPr>
        <w:t>Manager</w:t>
      </w:r>
      <w:r>
        <w:t xml:space="preserve"> users</w:t>
      </w:r>
    </w:p>
    <w:p>
      <w:r>
        <w:t>Scope: operational reporting, KPI validation, event review, funder conversations, and case study evidence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Role overview</w:t>
      </w:r>
    </w:p>
    <w:p>
      <w:r>
        <w:t>Managers have broad operational access across the reporting and delivery views.</w:t>
      </w:r>
    </w:p>
    <w:p/>
    <w:p>
      <w:r>
        <w:t>Available views:</w:t>
      </w:r>
    </w:p>
    <w:p/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/>
    <w:p>
      <w:r>
        <w:t>Managers cannot access: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/>
    <w:p>
      <w:pPr>
        <w:pStyle w:val="Heading1"/>
      </w:pPr>
      <w:r>
        <w:t>2. Quick start</w:t>
      </w:r>
    </w:p>
    <w:p>
      <w:pPr>
        <w:pStyle w:val="ManualNumber"/>
      </w:pPr>
      <w:r>
        <w:t>Sign in and change your password if prompted.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in the sidebar to switch between screens.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relying on figures for external reporting.</w:t>
      </w:r>
    </w:p>
    <w:p>
      <w:pPr>
        <w:pStyle w:val="ManualNumber"/>
      </w:pPr>
      <w:r>
        <w:t>Start with KPI for summary, then move to reports or ML view when you need detail.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Shared filters and navigation</w:t>
      </w:r>
    </w:p>
    <w:p>
      <w:r>
        <w:t>Across most manager workflows you will use:</w:t>
      </w:r>
    </w:p>
    <w:p/>
    <w:p>
      <w:pPr>
        <w:pStyle w:val="ManualBullet"/>
      </w:pPr>
      <w:r>
        <w:rPr>
          <w:rFonts w:ascii="Consolas" w:hAnsi="Consolas"/>
        </w:rPr>
        <w:t>View Mode</w:t>
      </w:r>
    </w:p>
    <w:p>
      <w:pPr>
        <w:pStyle w:val="ManualBullet"/>
      </w:pPr>
      <w:r>
        <w:t>region filters</w:t>
      </w:r>
    </w:p>
    <w:p>
      <w:pPr>
        <w:pStyle w:val="ManualBullet"/>
      </w:pPr>
      <w:r>
        <w:t>timeframe filters</w:t>
      </w:r>
    </w:p>
    <w:p/>
    <w:p>
      <w:r>
        <w:t>Typical timeframes:</w:t>
      </w:r>
    </w:p>
    <w:p/>
    <w:p>
      <w:pPr>
        <w:pStyle w:val="ManualBullet"/>
      </w:pPr>
      <w:r>
        <w:rPr>
          <w:rFonts w:ascii="Consolas" w:hAnsi="Consolas"/>
        </w:rPr>
        <w:t>All Time</w:t>
      </w:r>
    </w:p>
    <w:p>
      <w:pPr>
        <w:pStyle w:val="ManualBullet"/>
      </w:pPr>
      <w:r>
        <w:rPr>
          <w:rFonts w:ascii="Consolas" w:hAnsi="Consolas"/>
        </w:rPr>
        <w:t>Year</w:t>
      </w:r>
    </w:p>
    <w:p>
      <w:pPr>
        <w:pStyle w:val="ManualBullet"/>
      </w:pPr>
      <w:r>
        <w:rPr>
          <w:rFonts w:ascii="Consolas" w:hAnsi="Consolas"/>
        </w:rPr>
        <w:t>Quarter</w:t>
      </w:r>
    </w:p>
    <w:p>
      <w:pPr>
        <w:pStyle w:val="ManualBullet"/>
      </w:pPr>
      <w:r>
        <w:rPr>
          <w:rFonts w:ascii="Consolas" w:hAnsi="Consolas"/>
        </w:rPr>
        <w:t>Month</w:t>
      </w:r>
    </w:p>
    <w:p>
      <w:pPr>
        <w:pStyle w:val="ManualBullet"/>
      </w:pPr>
      <w:r>
        <w:rPr>
          <w:rFonts w:ascii="Consolas" w:hAnsi="Consolas"/>
        </w:rPr>
        <w:t>Week</w:t>
      </w:r>
    </w:p>
    <w:p>
      <w:pPr>
        <w:pStyle w:val="ManualBullet"/>
      </w:pPr>
      <w:r>
        <w:rPr>
          <w:rFonts w:ascii="Consolas" w:hAnsi="Consolas"/>
        </w:rPr>
        <w:t>Custom Range</w:t>
      </w:r>
    </w:p>
    <w:p/>
    <w:p>
      <w:r>
        <w:t>Use a wide range first when investigating missing data, then narrow once you know the records are present.</w:t>
      </w:r>
    </w:p>
    <w:p/>
    <w:p>
      <w:pPr>
        <w:pStyle w:val="Heading1"/>
      </w:pPr>
      <w:r>
        <w:t>4. KPI Dashboard</w:t>
      </w:r>
    </w:p>
    <w:p>
      <w:r>
        <w:t>The KPI screen is the main operational summary view for managers.</w:t>
      </w:r>
    </w:p>
    <w:p/>
    <w:p>
      <w:pPr>
        <w:pStyle w:val="Heading2"/>
      </w:pPr>
      <w:r>
        <w:t>4.1 KPI sections</w:t>
      </w:r>
    </w:p>
    <w:p>
      <w:r>
        <w:t>Use the section selector to move between:</w:t>
      </w:r>
    </w:p>
    <w:p/>
    <w:p>
      <w:pPr>
        <w:pStyle w:val="ManualBullet"/>
      </w:pPr>
      <w:r>
        <w:rPr>
          <w:rFonts w:ascii="Consolas" w:hAnsi="Consolas"/>
        </w:rPr>
        <w:t>Governance</w:t>
      </w:r>
    </w:p>
    <w:p>
      <w:pPr>
        <w:pStyle w:val="ManualBullet"/>
      </w:pPr>
      <w:r>
        <w:rPr>
          <w:rFonts w:ascii="Consolas" w:hAnsi="Consolas"/>
        </w:rPr>
        <w:t>Partnerships</w:t>
      </w:r>
    </w:p>
    <w:p>
      <w:pPr>
        <w:pStyle w:val="ManualBullet"/>
      </w:pPr>
      <w:r>
        <w:rPr>
          <w:rFonts w:ascii="Consolas" w:hAnsi="Consolas"/>
        </w:rPr>
        <w:t>Delivery</w:t>
      </w:r>
    </w:p>
    <w:p>
      <w:pPr>
        <w:pStyle w:val="ManualBullet"/>
      </w:pPr>
      <w:r>
        <w:rPr>
          <w:rFonts w:ascii="Consolas" w:hAnsi="Consolas"/>
        </w:rPr>
        <w:t>Income</w:t>
      </w:r>
      <w:r>
        <w:t xml:space="preserve"> when region is </w:t>
      </w:r>
      <w:r>
        <w:rPr>
          <w:rFonts w:ascii="Consolas" w:hAnsi="Consolas"/>
        </w:rPr>
        <w:t>Global</w:t>
      </w:r>
    </w:p>
    <w:p>
      <w:pPr>
        <w:pStyle w:val="ManualBullet"/>
      </w:pPr>
      <w:r>
        <w:rPr>
          <w:rFonts w:ascii="Consolas" w:hAnsi="Consolas"/>
        </w:rPr>
        <w:t>Comms</w:t>
      </w:r>
      <w:r>
        <w:t xml:space="preserve"> when region is </w:t>
      </w:r>
      <w:r>
        <w:rPr>
          <w:rFonts w:ascii="Consolas" w:hAnsi="Consolas"/>
        </w:rPr>
        <w:t>Global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pPr>
        <w:pStyle w:val="Heading2"/>
      </w:pPr>
      <w:r>
        <w:t>4.2 Drill-down behaviour</w:t>
      </w:r>
    </w:p>
    <w:p>
      <w:r>
        <w:t>Managers can click KPI cards and inspect supporting rows in detail.</w:t>
      </w:r>
    </w:p>
    <w:p/>
    <w:p>
      <w:r>
        <w:t xml:space="preserve">In </w:t>
      </w:r>
      <w:r>
        <w:rPr>
          <w:rFonts w:ascii="Consolas" w:hAnsi="Consolas"/>
        </w:rPr>
        <w:t>Delivery &gt; Total Participants</w:t>
      </w:r>
      <w:r>
        <w:t>, managers can see:</w:t>
      </w:r>
    </w:p>
    <w:p/>
    <w:p>
      <w:pPr>
        <w:pStyle w:val="ManualBullet"/>
      </w:pPr>
      <w:r>
        <w:t>attendee names where available</w:t>
      </w:r>
    </w:p>
    <w:p>
      <w:pPr>
        <w:pStyle w:val="ManualBullet"/>
      </w:pPr>
      <w:r>
        <w:t>attendee IDs where available</w:t>
      </w:r>
    </w:p>
    <w:p>
      <w:pPr>
        <w:pStyle w:val="ManualBullet"/>
      </w:pPr>
      <w:r>
        <w:t>placeholder entries when only participant counts exist</w:t>
      </w:r>
    </w:p>
    <w:p/>
    <w:p>
      <w:r>
        <w:t>This makes the manager role suitable for reconciling participant totals or validating delivery evidence.</w:t>
      </w:r>
    </w:p>
    <w:p/>
    <w:p>
      <w:pPr>
        <w:pStyle w:val="Heading2"/>
      </w:pPr>
      <w:r>
        <w:t>4.3 KPI Debug</w:t>
      </w:r>
    </w:p>
    <w:p>
      <w:r>
        <w:t xml:space="preserve">Managers can turn on </w:t>
      </w:r>
      <w:r>
        <w:rPr>
          <w:rFonts w:ascii="Consolas" w:hAnsi="Consolas"/>
        </w:rPr>
        <w:t>Show KPI Debug</w:t>
      </w:r>
      <w:r>
        <w:t xml:space="preserve"> from the sidebar.</w:t>
      </w:r>
    </w:p>
    <w:p/>
    <w:p>
      <w:r>
        <w:t>Debug mode exposes validation counters such as:</w:t>
      </w:r>
    </w:p>
    <w:p/>
    <w:p>
      <w:pPr>
        <w:pStyle w:val="ManualBullet"/>
      </w:pPr>
      <w:r>
        <w:t>people in region</w:t>
      </w:r>
    </w:p>
    <w:p>
      <w:pPr>
        <w:pStyle w:val="ManualBullet"/>
      </w:pPr>
      <w:r>
        <w:t>volunteers</w:t>
      </w:r>
    </w:p>
    <w:p>
      <w:pPr>
        <w:pStyle w:val="ManualBullet"/>
      </w:pPr>
      <w:r>
        <w:t>steering volunteers</w:t>
      </w:r>
    </w:p>
    <w:p>
      <w:pPr>
        <w:pStyle w:val="ManualBullet"/>
      </w:pPr>
      <w:r>
        <w:t>events in region</w:t>
      </w:r>
    </w:p>
    <w:p>
      <w:pPr>
        <w:pStyle w:val="ManualBullet"/>
      </w:pPr>
      <w:r>
        <w:t>walk events</w:t>
      </w:r>
    </w:p>
    <w:p>
      <w:pPr>
        <w:pStyle w:val="ManualBullet"/>
      </w:pPr>
      <w:r>
        <w:t>participants</w:t>
      </w:r>
    </w:p>
    <w:p>
      <w:pPr>
        <w:pStyle w:val="ManualBullet"/>
      </w:pPr>
      <w:r>
        <w:t>grants in region</w:t>
      </w:r>
    </w:p>
    <w:p>
      <w:pPr>
        <w:pStyle w:val="ManualBullet"/>
      </w:pPr>
      <w:r>
        <w:t>bids submitted</w:t>
      </w:r>
    </w:p>
    <w:p/>
    <w:p>
      <w:r>
        <w:t>Use it when a headline figure looks wrong and you want to confirm whether the underlying dataset is the issue or the KPI logic is the issue.</w:t>
      </w:r>
    </w:p>
    <w:p/>
    <w:p>
      <w:pPr>
        <w:pStyle w:val="Heading1"/>
      </w:pPr>
      <w:r>
        <w:t>5. Custom Reports Dashboard</w:t>
      </w:r>
    </w:p>
    <w:p>
      <w:r>
        <w:t>The report builder is the best place for structured analysis and export.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-reports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5.1 Standard workflow</w:t>
      </w:r>
    </w:p>
    <w:p>
      <w:pPr>
        <w:pStyle w:val="ManualNumber"/>
      </w:pPr>
      <w:r>
        <w:t>Choose the relevant datasets.</w:t>
      </w:r>
    </w:p>
    <w:p>
      <w:pPr>
        <w:pStyle w:val="ManualNumber"/>
      </w:pPr>
      <w:r>
        <w:t>Select the output type.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 xml:space="preserve">Refine with </w:t>
      </w:r>
      <w:r>
        <w:rPr>
          <w:rFonts w:ascii="Consolas" w:hAnsi="Consolas"/>
        </w:rPr>
        <w:t>Advanced Report Controls</w:t>
      </w:r>
      <w:r>
        <w:t xml:space="preserve"> if needed.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>.</w:t>
      </w:r>
    </w:p>
    <w:p>
      <w:pPr>
        <w:pStyle w:val="ManualNumber"/>
      </w:pPr>
      <w:r>
        <w:t>Export the resulting CSV if required.</w:t>
      </w:r>
    </w:p>
    <w:p/>
    <w:p>
      <w:pPr>
        <w:pStyle w:val="Heading2"/>
      </w:pPr>
      <w:r>
        <w:t>5.2 Strong use cases for managers</w:t>
      </w:r>
    </w:p>
    <w:p>
      <w:pPr>
        <w:pStyle w:val="ManualBullet"/>
      </w:pPr>
      <w:r>
        <w:t>monthly and quarterly reporting packs</w:t>
      </w:r>
    </w:p>
    <w:p>
      <w:pPr>
        <w:pStyle w:val="ManualBullet"/>
      </w:pPr>
      <w:r>
        <w:t>regional comparisons</w:t>
      </w:r>
    </w:p>
    <w:p>
      <w:pPr>
        <w:pStyle w:val="ManualBullet"/>
      </w:pPr>
      <w:r>
        <w:t>grant and payment reviews</w:t>
      </w:r>
    </w:p>
    <w:p>
      <w:pPr>
        <w:pStyle w:val="ManualBullet"/>
      </w:pPr>
      <w:r>
        <w:t>delivery trend reviews</w:t>
      </w:r>
    </w:p>
    <w:p>
      <w:pPr>
        <w:pStyle w:val="ManualBullet"/>
      </w:pPr>
      <w:r>
        <w:t>evidence packs for leadership or trustees</w:t>
      </w:r>
    </w:p>
    <w:p/>
    <w:p>
      <w:pPr>
        <w:pStyle w:val="Heading2"/>
      </w:pPr>
      <w:r>
        <w:t>5.3 Distance Analysis</w:t>
      </w:r>
    </w:p>
    <w:p>
      <w:r>
        <w:t>Distance Analysis is especially useful for managers because it reveals reach and travel burden across delivery.</w:t>
      </w:r>
    </w:p>
    <w:p/>
    <w:p>
      <w:r>
        <w:t>Use it to:</w:t>
      </w:r>
    </w:p>
    <w:p/>
    <w:p>
      <w:pPr>
        <w:pStyle w:val="ManualBullet"/>
      </w:pPr>
      <w:r>
        <w:t>rank events by average participant travel</w:t>
      </w:r>
    </w:p>
    <w:p>
      <w:pPr>
        <w:pStyle w:val="ManualBullet"/>
      </w:pPr>
      <w:r>
        <w:t>inspect the participant-level journey rows for one event</w:t>
      </w:r>
    </w:p>
    <w:p>
      <w:pPr>
        <w:pStyle w:val="ManualBullet"/>
      </w:pPr>
      <w:r>
        <w:t>export a selected event or the full dataset</w:t>
      </w:r>
    </w:p>
    <w:p/>
    <w:p>
      <w:r>
        <w:t>If the output is empty, review postcode quality and whether resolved distance filtering is excluding rows.</w:t>
      </w:r>
    </w:p>
    <w:p/>
    <w:p>
      <w:pPr>
        <w:pStyle w:val="Heading1"/>
      </w:pPr>
      <w:r>
        <w:t>6. ML Dashboard</w:t>
      </w:r>
    </w:p>
    <w:p>
      <w:r>
        <w:t>Managers can use the ML screen for event-level operational detail without needing Admin permissions.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-dashboard-gui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Recommended workflow:</w:t>
      </w:r>
    </w:p>
    <w:p/>
    <w:p>
      <w:pPr>
        <w:pStyle w:val="ManualNumber"/>
      </w:pPr>
      <w:r>
        <w:t>Set the region and timeframe.</w:t>
      </w:r>
    </w:p>
    <w:p>
      <w:pPr>
        <w:pStyle w:val="ManualNumber"/>
      </w:pPr>
      <w:r>
        <w:t>Choose the relevant event.</w:t>
      </w:r>
    </w:p>
    <w:p>
      <w:pPr>
        <w:pStyle w:val="ManualNumber"/>
      </w:pPr>
      <w:r>
        <w:t>Review the event details panel.</w:t>
      </w:r>
    </w:p>
    <w:p>
      <w:pPr>
        <w:pStyle w:val="ManualNumber"/>
      </w:pPr>
      <w:r>
        <w:t>Select a participant if attendee data exists.</w:t>
      </w:r>
    </w:p>
    <w:p>
      <w:pPr>
        <w:pStyle w:val="ManualNumber"/>
      </w:pPr>
      <w:r>
        <w:t>Review personal, medical, and emergency fields carefully.</w:t>
      </w:r>
    </w:p>
    <w:p>
      <w:pPr>
        <w:pStyle w:val="ManualNumber"/>
      </w:pPr>
      <w:r>
        <w:t>Use the raw event payload only when deeper investigation is needed.</w:t>
      </w:r>
    </w:p>
    <w:p/>
    <w:p>
      <w:r>
        <w:t>Use this screen when:</w:t>
      </w:r>
    </w:p>
    <w:p/>
    <w:p>
      <w:pPr>
        <w:pStyle w:val="ManualBullet"/>
      </w:pPr>
      <w:r>
        <w:t>an event record needs checking</w:t>
      </w:r>
    </w:p>
    <w:p>
      <w:pPr>
        <w:pStyle w:val="ManualBullet"/>
      </w:pPr>
      <w:r>
        <w:t>attendee detail needs validating</w:t>
      </w:r>
    </w:p>
    <w:p>
      <w:pPr>
        <w:pStyle w:val="ManualBullet"/>
      </w:pPr>
      <w:r>
        <w:t>support staff ask for confirmation of what Beacon supplied</w:t>
      </w:r>
    </w:p>
    <w:p/>
    <w:p>
      <w:pPr>
        <w:pStyle w:val="Heading1"/>
      </w:pPr>
      <w:r>
        <w:t>7. Funder Dashboard</w:t>
      </w:r>
    </w:p>
    <w:p>
      <w:r>
        <w:t xml:space="preserve">Managers can open the </w:t>
      </w:r>
      <w:r>
        <w:rPr>
          <w:rFonts w:ascii="Consolas" w:hAnsi="Consolas"/>
        </w:rPr>
        <w:t>Funder Dashboard</w:t>
      </w:r>
      <w:r>
        <w:t xml:space="preserve"> and choose a funder from the selector.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der-dashboard-gu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Use it for:</w:t>
      </w:r>
    </w:p>
    <w:p/>
    <w:p>
      <w:pPr>
        <w:pStyle w:val="ManualBullet"/>
      </w:pPr>
      <w:r>
        <w:t>sponsor update meetings</w:t>
      </w:r>
    </w:p>
    <w:p>
      <w:pPr>
        <w:pStyle w:val="ManualBullet"/>
      </w:pPr>
      <w:r>
        <w:t>checking funding trends</w:t>
      </w:r>
    </w:p>
    <w:p>
      <w:pPr>
        <w:pStyle w:val="ManualBullet"/>
      </w:pPr>
      <w:r>
        <w:t>reviewing bid totals and funds raised</w:t>
      </w:r>
    </w:p>
    <w:p>
      <w:pPr>
        <w:pStyle w:val="ManualBullet"/>
      </w:pPr>
      <w:r>
        <w:t>quality-assuring what a funder-facing user will see</w:t>
      </w:r>
    </w:p>
    <w:p/>
    <w:p>
      <w:r>
        <w:t>Important interpretation note:</w:t>
      </w:r>
    </w:p>
    <w:p/>
    <w:p>
      <w:pPr>
        <w:pStyle w:val="ManualBullet"/>
      </w:pPr>
      <w:r>
        <w:t>funder-related financial measures follow the selected funder</w:t>
      </w:r>
    </w:p>
    <w:p>
      <w:pPr>
        <w:pStyle w:val="ManualBullet"/>
      </w:pPr>
      <w:r>
        <w:t>wider operational figures remain region and timeframe based</w:t>
      </w:r>
    </w:p>
    <w:p/>
    <w:p>
      <w:pPr>
        <w:pStyle w:val="Heading1"/>
      </w:pPr>
      <w:r>
        <w:t>8. Case Studies</w:t>
      </w:r>
    </w:p>
    <w:p>
      <w:r>
        <w:t>Managers can read, filter, and upload case studies.</w:t>
      </w:r>
    </w:p>
    <w:p/>
    <w:p>
      <w:r>
        <w:t>This is useful when you need a narrative example to sit alongside KPI or report data.</w:t>
      </w:r>
    </w:p>
    <w:p/>
    <w:p>
      <w:r>
        <w:t>Suggested use:</w:t>
      </w:r>
    </w:p>
    <w:p/>
    <w:p>
      <w:pPr>
        <w:pStyle w:val="ManualBullet"/>
      </w:pPr>
      <w:r>
        <w:t>add case studies after notable delivery</w:t>
      </w:r>
    </w:p>
    <w:p>
      <w:pPr>
        <w:pStyle w:val="ManualBullet"/>
      </w:pPr>
      <w:r>
        <w:t>tag the right region and date</w:t>
      </w:r>
    </w:p>
    <w:p>
      <w:pPr>
        <w:pStyle w:val="ManualBullet"/>
      </w:pPr>
      <w:r>
        <w:t>keep titles descriptive so other staff can find them later</w:t>
      </w:r>
    </w:p>
    <w:p/>
    <w:p>
      <w:pPr>
        <w:pStyle w:val="Heading1"/>
      </w:pPr>
      <w:r>
        <w:t>9. Recommended operating pattern</w:t>
      </w:r>
    </w:p>
    <w:p>
      <w:pPr>
        <w:pStyle w:val="ManualNumber"/>
      </w:pPr>
      <w:r>
        <w:t>Start in KPI for the headline view.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Show KPI Debug</w:t>
      </w:r>
      <w:r>
        <w:t xml:space="preserve"> if a number needs validating.</w:t>
      </w:r>
    </w:p>
    <w:p>
      <w:pPr>
        <w:pStyle w:val="ManualNumber"/>
      </w:pPr>
      <w:r>
        <w:t>Move to Custom Reports for structured analysis or export.</w:t>
      </w:r>
    </w:p>
    <w:p>
      <w:pPr>
        <w:pStyle w:val="ManualNumber"/>
      </w:pPr>
      <w:r>
        <w:t>Move to ML Dashboard when the question is event-specific.</w:t>
      </w:r>
    </w:p>
    <w:p>
      <w:pPr>
        <w:pStyle w:val="ManualNumber"/>
      </w:pPr>
      <w:r>
        <w:t>Use Funder Dashboard for sponsor-facing summaries.</w:t>
      </w:r>
    </w:p>
    <w:p/>
    <w:p>
      <w:pPr>
        <w:pStyle w:val="Heading1"/>
      </w:pPr>
      <w:r>
        <w:t>10. Troubleshooting</w:t>
      </w:r>
    </w:p>
    <w:p>
      <w:pPr>
        <w:pStyle w:val="Heading2"/>
      </w:pPr>
      <w:r>
        <w:t>A KPI number looks wrong</w:t>
      </w:r>
    </w:p>
    <w:p>
      <w:pPr>
        <w:pStyle w:val="ManualBullet"/>
      </w:pPr>
      <w:r>
        <w:t xml:space="preserve">switch on </w:t>
      </w:r>
      <w:r>
        <w:rPr>
          <w:rFonts w:ascii="Consolas" w:hAnsi="Consolas"/>
        </w:rPr>
        <w:t>Show KPI Debug</w:t>
      </w:r>
    </w:p>
    <w:p>
      <w:pPr>
        <w:pStyle w:val="ManualBullet"/>
      </w:pPr>
      <w:r>
        <w:t>narrow the timeframe</w:t>
      </w:r>
    </w:p>
    <w:p>
      <w:pPr>
        <w:pStyle w:val="ManualBullet"/>
      </w:pPr>
      <w:r>
        <w:t>drill into the KPI card to inspect the source rows</w:t>
      </w:r>
    </w:p>
    <w:p/>
    <w:p>
      <w:pPr>
        <w:pStyle w:val="Heading2"/>
      </w:pPr>
      <w:r>
        <w:t>The report did not refresh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Report Filters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advanced controls changed</w:t>
      </w:r>
    </w:p>
    <w:p/>
    <w:p>
      <w:pPr>
        <w:pStyle w:val="Heading2"/>
      </w:pPr>
      <w:r>
        <w:t>No attendee detail is visible</w:t>
      </w:r>
    </w:p>
    <w:p>
      <w:pPr>
        <w:pStyle w:val="ManualBullet"/>
      </w:pPr>
      <w:r>
        <w:t>some events only contain counts or partial attendee detail</w:t>
      </w:r>
    </w:p>
    <w:p>
      <w:pPr>
        <w:pStyle w:val="ManualBullet"/>
      </w:pPr>
      <w:r>
        <w:t>names and IDs depend on the source Beacon payload</w:t>
      </w:r>
    </w:p>
    <w:p/>
    <w:p>
      <w:pPr>
        <w:pStyle w:val="Heading2"/>
      </w:pPr>
      <w:r>
        <w:t>The Funder Dashboard looks empty</w:t>
      </w:r>
    </w:p>
    <w:p>
      <w:pPr>
        <w:pStyle w:val="ManualBullet"/>
      </w:pPr>
      <w:r>
        <w:t xml:space="preserve">try </w:t>
      </w:r>
      <w:r>
        <w:rPr>
          <w:rFonts w:ascii="Consolas" w:hAnsi="Consolas"/>
        </w:rPr>
        <w:t>All Time</w:t>
      </w:r>
    </w:p>
    <w:p>
      <w:pPr>
        <w:pStyle w:val="ManualBullet"/>
      </w:pPr>
      <w:r>
        <w:t>change the selected funder</w:t>
      </w:r>
    </w:p>
    <w:p>
      <w:pPr>
        <w:pStyle w:val="ManualBullet"/>
      </w:pPr>
      <w:r>
        <w:t>confirm the selected funder appears in grants or payments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