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Mountain Leader Dashboard Manual</w:t>
      </w:r>
    </w:p>
    <w:p/>
    <w:p>
      <w:r>
        <w:t xml:space="preserve">Audience: </w:t>
      </w:r>
      <w:r>
        <w:rPr>
          <w:rFonts w:ascii="Consolas" w:hAnsi="Consolas"/>
        </w:rPr>
        <w:t>ML</w:t>
      </w:r>
      <w:r>
        <w:t xml:space="preserve"> users</w:t>
      </w:r>
    </w:p>
    <w:p>
      <w:r>
        <w:t>Scope: event-by-event review, participant detail checks, and case study capture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Role overview</w:t>
      </w:r>
    </w:p>
    <w:p>
      <w:r>
        <w:t>Mountain Leaders mainly use the dashboard for delivery support rather than broad management reporting.</w:t>
      </w:r>
    </w:p>
    <w:p/>
    <w:p>
      <w:r>
        <w:t>Available views:</w:t>
      </w:r>
    </w:p>
    <w:p/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ML users cannot access: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pPr>
        <w:pStyle w:val="Heading1"/>
      </w:pPr>
      <w:r>
        <w:t>2. Quick start</w:t>
      </w:r>
    </w:p>
    <w:p>
      <w:pPr>
        <w:pStyle w:val="ManualNumber"/>
      </w:pPr>
      <w:r>
        <w:t>Sign in with your dashboard account.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to switch between </w:t>
      </w:r>
      <w:r>
        <w:rPr>
          <w:rFonts w:ascii="Consolas" w:hAnsi="Consolas"/>
        </w:rPr>
        <w:t>ML Dashboard</w:t>
      </w:r>
      <w:r>
        <w:t xml:space="preserve"> and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Choose the correct region and timeframe before selecting an event.</w:t>
      </w:r>
    </w:p>
    <w:p>
      <w:pPr>
        <w:pStyle w:val="ManualNumber"/>
      </w:pPr>
      <w:r>
        <w:t>Review the event panel first, then the participant details.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ML Dashboard purpose</w:t>
      </w:r>
    </w:p>
    <w:p>
      <w:r>
        <w:t>The ML Dashboard is designed to help you work on one event at a time.</w:t>
      </w:r>
    </w:p>
    <w:p/>
    <w:p>
      <w:r>
        <w:t>It supports:</w:t>
      </w:r>
    </w:p>
    <w:p/>
    <w:p>
      <w:pPr>
        <w:pStyle w:val="ManualBullet"/>
      </w:pPr>
      <w:r>
        <w:t>confirming you are looking at the correct event</w:t>
      </w:r>
    </w:p>
    <w:p>
      <w:pPr>
        <w:pStyle w:val="ManualBullet"/>
      </w:pPr>
      <w:r>
        <w:t>checking event information before delivery</w:t>
      </w:r>
    </w:p>
    <w:p>
      <w:pPr>
        <w:pStyle w:val="ManualBullet"/>
      </w:pPr>
      <w:r>
        <w:t>reviewing participant details where available</w:t>
      </w:r>
    </w:p>
    <w:p>
      <w:pPr>
        <w:pStyle w:val="ManualBullet"/>
      </w:pPr>
      <w:r>
        <w:t>surfacing medical and emergency fields when Beacon supplies them</w:t>
      </w:r>
    </w:p>
    <w:p>
      <w:pPr>
        <w:pStyle w:val="ManualBullet"/>
      </w:pPr>
      <w:r>
        <w:t>checking the raw source payload during troubleshooting</w:t>
      </w:r>
    </w:p>
    <w:p/>
    <w:p>
      <w:pPr>
        <w:pStyle w:val="Heading1"/>
      </w:pPr>
      <w:r>
        <w:t>4. Filters and event selection</w:t>
      </w:r>
    </w:p>
    <w:p>
      <w:r>
        <w:t>Use the sidebar to set:</w:t>
      </w:r>
    </w:p>
    <w:p/>
    <w:p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>
      <w:pPr>
        <w:pStyle w:val="ManualBullet"/>
      </w:pPr>
      <w:r>
        <w:t>timeframe</w:t>
      </w:r>
    </w:p>
    <w:p/>
    <w:p>
      <w:r>
        <w:t xml:space="preserve">Then use the </w:t>
      </w:r>
      <w:r>
        <w:rPr>
          <w:rFonts w:ascii="Consolas" w:hAnsi="Consolas"/>
        </w:rPr>
        <w:t>Event</w:t>
      </w:r>
      <w:r>
        <w:t xml:space="preserve"> selector on the page to choose the event you need.</w:t>
      </w:r>
    </w:p>
    <w:p/>
    <w:p>
      <w:r>
        <w:t>If the event list is empty:</w:t>
      </w:r>
    </w:p>
    <w:p/>
    <w:p>
      <w:pPr>
        <w:pStyle w:val="ManualBullet"/>
      </w:pPr>
      <w:r>
        <w:t>widen the timeframe</w:t>
      </w:r>
    </w:p>
    <w:p>
      <w:pPr>
        <w:pStyle w:val="ManualBullet"/>
      </w:pPr>
      <w:r>
        <w:t xml:space="preserve">switch to </w:t>
      </w:r>
      <w:r>
        <w:rPr>
          <w:rFonts w:ascii="Consolas" w:hAnsi="Consolas"/>
        </w:rPr>
        <w:t>All Regions</w:t>
      </w:r>
    </w:p>
    <w:p>
      <w:pPr>
        <w:pStyle w:val="ManualBullet"/>
      </w:pPr>
      <w:r>
        <w:t>confirm the event has synced from Beacon</w:t>
      </w:r>
    </w:p>
    <w:p/>
    <w:p>
      <w:pPr>
        <w:pStyle w:val="Heading1"/>
      </w:pPr>
      <w:r>
        <w:t>5. Event Details panel</w:t>
      </w:r>
    </w:p>
    <w:p>
      <w:r>
        <w:t xml:space="preserve">Once an event is selected, the dashboard shows an </w:t>
      </w:r>
      <w:r>
        <w:rPr>
          <w:rFonts w:ascii="Consolas" w:hAnsi="Consolas"/>
        </w:rPr>
        <w:t>Event Details</w:t>
      </w:r>
      <w:r>
        <w:t xml:space="preserve"> area.</w:t>
      </w:r>
    </w:p>
    <w:p/>
    <w:p>
      <w:r>
        <w:t>Typical fields include:</w:t>
      </w:r>
    </w:p>
    <w:p/>
    <w:p>
      <w:pPr>
        <w:pStyle w:val="ManualBullet"/>
      </w:pPr>
      <w:r>
        <w:t>event ID</w:t>
      </w:r>
    </w:p>
    <w:p>
      <w:pPr>
        <w:pStyle w:val="ManualBullet"/>
      </w:pPr>
      <w:r>
        <w:t>event name</w:t>
      </w:r>
    </w:p>
    <w:p>
      <w:pPr>
        <w:pStyle w:val="ManualBullet"/>
      </w:pPr>
      <w:r>
        <w:t>date</w:t>
      </w:r>
    </w:p>
    <w:p>
      <w:pPr>
        <w:pStyle w:val="ManualBullet"/>
      </w:pPr>
      <w:r>
        <w:t>region</w:t>
      </w:r>
    </w:p>
    <w:p>
      <w:pPr>
        <w:pStyle w:val="ManualBullet"/>
      </w:pPr>
      <w:r>
        <w:t>event type</w:t>
      </w:r>
    </w:p>
    <w:p>
      <w:pPr>
        <w:pStyle w:val="ManualBullet"/>
      </w:pPr>
      <w:r>
        <w:t>participant count</w:t>
      </w:r>
    </w:p>
    <w:p>
      <w:pPr>
        <w:pStyle w:val="ManualBullet"/>
      </w:pPr>
      <w:r>
        <w:t>location</w:t>
      </w:r>
    </w:p>
    <w:p>
      <w:pPr>
        <w:pStyle w:val="ManualBullet"/>
      </w:pPr>
      <w:r>
        <w:t>status</w:t>
      </w:r>
    </w:p>
    <w:p>
      <w:pPr>
        <w:pStyle w:val="ManualBullet"/>
      </w:pPr>
      <w:r>
        <w:t>description</w:t>
      </w:r>
    </w:p>
    <w:p/>
    <w:p>
      <w:r>
        <w:t>Always check this panel first to confirm you are working in the right record.</w:t>
      </w:r>
    </w:p>
    <w:p/>
    <w:p>
      <w:pPr>
        <w:pStyle w:val="Heading1"/>
      </w:pPr>
      <w:r>
        <w:t>6. Participant selection and detail</w:t>
      </w:r>
    </w:p>
    <w:p>
      <w:r>
        <w:t>If attendee detail is available, the dashboard provides a participant chooser.</w:t>
      </w:r>
    </w:p>
    <w:p/>
    <w:p>
      <w:r>
        <w:t>Typical workflow:</w:t>
      </w:r>
    </w:p>
    <w:p/>
    <w:p>
      <w:pPr>
        <w:pStyle w:val="ManualNumber"/>
      </w:pPr>
      <w:r>
        <w:t>Select the event.</w:t>
      </w:r>
    </w:p>
    <w:p>
      <w:pPr>
        <w:pStyle w:val="ManualNumber"/>
      </w:pPr>
      <w:r>
        <w:t>Open the participant selector.</w:t>
      </w:r>
    </w:p>
    <w:p>
      <w:pPr>
        <w:pStyle w:val="ManualNumber"/>
      </w:pPr>
      <w:r>
        <w:t>Choose one participant at a time.</w:t>
      </w:r>
    </w:p>
    <w:p>
      <w:pPr>
        <w:pStyle w:val="ManualNumber"/>
      </w:pPr>
      <w:r>
        <w:t>Review the available fields carefully.</w:t>
      </w:r>
    </w:p>
    <w:p/>
    <w:p>
      <w:r>
        <w:t>Possible detail sections:</w:t>
      </w:r>
    </w:p>
    <w:p/>
    <w:p>
      <w:pPr>
        <w:pStyle w:val="ManualBullet"/>
      </w:pPr>
      <w:r>
        <w:rPr>
          <w:rFonts w:ascii="Consolas" w:hAnsi="Consolas"/>
        </w:rPr>
        <w:t>Personal Information</w:t>
      </w:r>
    </w:p>
    <w:p>
      <w:pPr>
        <w:pStyle w:val="ManualBullet"/>
      </w:pPr>
      <w:r>
        <w:rPr>
          <w:rFonts w:ascii="Consolas" w:hAnsi="Consolas"/>
        </w:rPr>
        <w:t>Medical Information</w:t>
      </w:r>
    </w:p>
    <w:p>
      <w:pPr>
        <w:pStyle w:val="ManualBullet"/>
      </w:pPr>
      <w:r>
        <w:rPr>
          <w:rFonts w:ascii="Consolas" w:hAnsi="Consolas"/>
        </w:rPr>
        <w:t>Emergency Contact Details</w:t>
      </w:r>
    </w:p>
    <w:p>
      <w:pPr>
        <w:pStyle w:val="ManualBullet"/>
      </w:pPr>
      <w:r>
        <w:rPr>
          <w:rFonts w:ascii="Consolas" w:hAnsi="Consolas"/>
        </w:rPr>
        <w:t>Participant Record</w:t>
      </w:r>
    </w:p>
    <w:p/>
    <w:p>
      <w:r>
        <w:t>Not every attendee will have every field. Blank or missing sections usually mean Beacon did not provide that value.</w:t>
      </w:r>
    </w:p>
    <w:p/>
    <w:p>
      <w:pPr>
        <w:pStyle w:val="Heading1"/>
      </w:pPr>
      <w:r>
        <w:t>7. Event-level medical and emergency information</w:t>
      </w:r>
    </w:p>
    <w:p>
      <w:r>
        <w:t>Below the participant-level sections, the dashboard may also surface event-level medical or emergency fields extracted from the event payload.</w:t>
      </w:r>
    </w:p>
    <w:p/>
    <w:p>
      <w:r>
        <w:t>Use these as an operational prompt, not as a substitute for normal safety procedures.</w:t>
      </w:r>
    </w:p>
    <w:p/>
    <w:p>
      <w:pPr>
        <w:pStyle w:val="Heading1"/>
      </w:pPr>
      <w:r>
        <w:t>8. Raw Event Payload</w:t>
      </w:r>
    </w:p>
    <w:p>
      <w:r>
        <w:t xml:space="preserve">The </w:t>
      </w:r>
      <w:r>
        <w:rPr>
          <w:rFonts w:ascii="Consolas" w:hAnsi="Consolas"/>
        </w:rPr>
        <w:t>Raw Event Payload</w:t>
      </w:r>
      <w:r>
        <w:t xml:space="preserve"> expander is for deeper checking.</w:t>
      </w:r>
    </w:p>
    <w:p/>
    <w:p>
      <w:r>
        <w:t>Use it when:</w:t>
      </w:r>
    </w:p>
    <w:p/>
    <w:p>
      <w:pPr>
        <w:pStyle w:val="ManualBullet"/>
      </w:pPr>
      <w:r>
        <w:t>a value appears to be missing from the formatted sections</w:t>
      </w:r>
    </w:p>
    <w:p>
      <w:pPr>
        <w:pStyle w:val="ManualBullet"/>
      </w:pPr>
      <w:r>
        <w:t>support staff ask how Beacon stored a field</w:t>
      </w:r>
    </w:p>
    <w:p>
      <w:pPr>
        <w:pStyle w:val="ManualBullet"/>
      </w:pPr>
      <w:r>
        <w:t>you need to confirm exactly what synced into the app</w:t>
      </w:r>
    </w:p>
    <w:p/>
    <w:p>
      <w:r>
        <w:t>Only use this section when needed. The formatted view is easier to read for day-to-day work.</w:t>
      </w:r>
    </w:p>
    <w:p/>
    <w:p>
      <w:pPr>
        <w:pStyle w:val="Heading1"/>
      </w:pPr>
      <w:r>
        <w:t>9. Case Studies</w:t>
      </w:r>
    </w:p>
    <w:p>
      <w:r>
        <w:t>ML users can also read and upload case studies.</w:t>
      </w:r>
    </w:p>
    <w:p/>
    <w:p>
      <w:r>
        <w:t>This is useful after delivery when you want to capture:</w:t>
      </w:r>
    </w:p>
    <w:p/>
    <w:p>
      <w:pPr>
        <w:pStyle w:val="ManualBullet"/>
      </w:pPr>
      <w:r>
        <w:t>participant feedback</w:t>
      </w:r>
    </w:p>
    <w:p>
      <w:pPr>
        <w:pStyle w:val="ManualBullet"/>
      </w:pPr>
      <w:r>
        <w:t>outcome stories</w:t>
      </w:r>
    </w:p>
    <w:p>
      <w:pPr>
        <w:pStyle w:val="ManualBullet"/>
      </w:pPr>
      <w:r>
        <w:t>short event reflections</w:t>
      </w:r>
    </w:p>
    <w:p/>
    <w:p>
      <w:r>
        <w:t>Suggested upload steps: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Check whether the story already exists.</w:t>
      </w:r>
    </w:p>
    <w:p>
      <w:pPr>
        <w:pStyle w:val="ManualNumber"/>
      </w:pPr>
      <w:r>
        <w:t>Add a descriptive title.</w:t>
      </w:r>
    </w:p>
    <w:p>
      <w:pPr>
        <w:pStyle w:val="ManualNumber"/>
      </w:pPr>
      <w:r>
        <w:t>Paste the story text.</w:t>
      </w:r>
    </w:p>
    <w:p>
      <w:pPr>
        <w:pStyle w:val="ManualNumber"/>
      </w:pPr>
      <w:r>
        <w:t>Choose the correct date and region.</w:t>
      </w:r>
    </w:p>
    <w:p>
      <w:pPr>
        <w:pStyle w:val="ManualNumber"/>
      </w:pPr>
      <w:r>
        <w:t>Submit.</w:t>
      </w:r>
    </w:p>
    <w:p/>
    <w:p>
      <w:pPr>
        <w:pStyle w:val="Heading1"/>
      </w:pPr>
      <w:r>
        <w:t>10. Good working practice</w:t>
      </w:r>
    </w:p>
    <w:p>
      <w:pPr>
        <w:pStyle w:val="ManualBullet"/>
      </w:pPr>
      <w:r>
        <w:t>set the correct date range before selecting an event</w:t>
      </w:r>
    </w:p>
    <w:p>
      <w:pPr>
        <w:pStyle w:val="ManualBullet"/>
      </w:pPr>
      <w:r>
        <w:t>confirm the event details panel before reviewing participants</w:t>
      </w:r>
    </w:p>
    <w:p>
      <w:pPr>
        <w:pStyle w:val="ManualBullet"/>
      </w:pPr>
      <w:r>
        <w:t>treat medical and emergency information carefully and only for operational need</w:t>
      </w:r>
    </w:p>
    <w:p>
      <w:pPr>
        <w:pStyle w:val="ManualBullet"/>
      </w:pPr>
      <w:r>
        <w:t>report missing attendee data to Managers or Admins when the source record should contain it</w:t>
      </w:r>
    </w:p>
    <w:p/>
    <w:p>
      <w:pPr>
        <w:pStyle w:val="Heading1"/>
      </w:pPr>
      <w:r>
        <w:t>11. Troubleshooting</w:t>
      </w:r>
    </w:p>
    <w:p>
      <w:pPr>
        <w:pStyle w:val="Heading2"/>
      </w:pPr>
      <w:r>
        <w:t>No events are showing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 xml:space="preserve">choose </w:t>
      </w:r>
      <w:r>
        <w:rPr>
          <w:rFonts w:ascii="Consolas" w:hAnsi="Consolas"/>
        </w:rPr>
        <w:t>All Regions</w:t>
      </w:r>
    </w:p>
    <w:p>
      <w:pPr>
        <w:pStyle w:val="ManualBullet"/>
      </w:pPr>
      <w:r>
        <w:t>confirm the event exists in Beacon and has synced</w:t>
      </w:r>
    </w:p>
    <w:p/>
    <w:p>
      <w:pPr>
        <w:pStyle w:val="Heading2"/>
      </w:pPr>
      <w:r>
        <w:t>No participant names are shown</w:t>
      </w:r>
    </w:p>
    <w:p>
      <w:pPr>
        <w:pStyle w:val="ManualBullet"/>
      </w:pPr>
      <w:r>
        <w:t>some events only sync counts or limited attendee data</w:t>
      </w:r>
    </w:p>
    <w:p>
      <w:pPr>
        <w:pStyle w:val="ManualBullet"/>
      </w:pPr>
      <w:r>
        <w:t>this depends on the Beacon source structure</w:t>
      </w:r>
    </w:p>
    <w:p/>
    <w:p>
      <w:pPr>
        <w:pStyle w:val="Heading2"/>
      </w:pPr>
      <w:r>
        <w:t>Medical or emergency sections are blank</w:t>
      </w:r>
    </w:p>
    <w:p>
      <w:pPr>
        <w:pStyle w:val="ManualBullet"/>
      </w:pPr>
      <w:r>
        <w:t>the source record may not contain those fields</w:t>
      </w:r>
    </w:p>
    <w:p>
      <w:pPr>
        <w:pStyle w:val="ManualBullet"/>
      </w:pPr>
      <w:r>
        <w:t>not all events or attendees include those values in Beacon</w:t>
      </w:r>
    </w:p>
    <w:p/>
    <w:p>
      <w:pPr>
        <w:pStyle w:val="Heading2"/>
      </w:pPr>
      <w:r>
        <w:t>The selected event looks wrong</w:t>
      </w:r>
    </w:p>
    <w:p>
      <w:pPr>
        <w:pStyle w:val="ManualBullet"/>
      </w:pPr>
      <w:r>
        <w:t>check the event date in the selector</w:t>
      </w:r>
    </w:p>
    <w:p>
      <w:pPr>
        <w:pStyle w:val="ManualBullet"/>
      </w:pPr>
      <w:r>
        <w:t>adjust the region and timeframe filters</w:t>
      </w:r>
    </w:p>
    <w:p>
      <w:pPr>
        <w:pStyle w:val="ManualBullet"/>
      </w:pPr>
      <w:r>
        <w:t>reselect the event after changing filters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