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RPL Dashboard Manual</w:t>
      </w:r>
    </w:p>
    <w:p/>
    <w:p>
      <w:r>
        <w:t>Audience: Regional Programme Leads (</w:t>
      </w:r>
      <w:r>
        <w:rPr>
          <w:rFonts w:ascii="Consolas" w:hAnsi="Consolas"/>
        </w:rPr>
        <w:t>RPL</w:t>
      </w:r>
      <w:r>
        <w:t>)</w:t>
      </w:r>
    </w:p>
    <w:p>
      <w:r>
        <w:t>Scope: KPI monitoring, self-service reporting, exports, and case study management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i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What this manual covers</w:t>
      </w:r>
    </w:p>
    <w:p>
      <w:r>
        <w:t>RPL users use the dashboard to monitor delivery, review trends, validate headline numbers, and prepare evidence for internal reporting.</w:t>
      </w:r>
    </w:p>
    <w:p/>
    <w:p>
      <w:r>
        <w:t>RPL access includes:</w:t>
      </w:r>
    </w:p>
    <w:p/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/>
    <w:p>
      <w:r>
        <w:t>RPL users cannot access: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>
      <w:pPr>
        <w:pStyle w:val="ManualBullet"/>
      </w:pPr>
      <w:r>
        <w:t>named attendee details inside KPI event drill-downs</w:t>
      </w:r>
    </w:p>
    <w:p/>
    <w:p>
      <w:pPr>
        <w:pStyle w:val="Heading1"/>
      </w:pPr>
      <w:r>
        <w:t>2. Quick start</w:t>
      </w:r>
    </w:p>
    <w:p>
      <w:pPr>
        <w:pStyle w:val="ManualNumber"/>
      </w:pPr>
      <w:r>
        <w:t>Sign in with your email address and password.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View Mode</w:t>
      </w:r>
      <w:r>
        <w:t xml:space="preserve"> in the left sidebar to choose the screen you need.</w:t>
      </w:r>
    </w:p>
    <w:p>
      <w:pPr>
        <w:pStyle w:val="ManualNumber"/>
      </w:pPr>
      <w:r>
        <w:t xml:space="preserve">Start with </w:t>
      </w:r>
      <w:r>
        <w:rPr>
          <w:rFonts w:ascii="Consolas" w:hAnsi="Consolas"/>
        </w:rPr>
        <w:t>All Regions</w:t>
      </w:r>
      <w:r>
        <w:t xml:space="preserve"> and a broad timeframe if you are not sure where data sits.</w:t>
      </w:r>
    </w:p>
    <w:p>
      <w:pPr>
        <w:pStyle w:val="ManualNumber"/>
      </w:pPr>
      <w:r>
        <w:t>Narrow the filters once you confirm the records are present.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Shared filters and navigation</w:t>
      </w:r>
    </w:p>
    <w:p>
      <w:r>
        <w:t>Most RPL tasks begin in the left sidebar.</w:t>
      </w:r>
    </w:p>
    <w:p/>
    <w:p>
      <w:r>
        <w:t>Main controls:</w:t>
      </w:r>
    </w:p>
    <w:p/>
    <w:p>
      <w:pPr>
        <w:pStyle w:val="ManualBullet"/>
      </w:pPr>
      <w:r>
        <w:rPr>
          <w:rFonts w:ascii="Consolas" w:hAnsi="Consolas"/>
        </w:rPr>
        <w:t>View Mode</w:t>
      </w:r>
    </w:p>
    <w:p>
      <w:pPr>
        <w:pStyle w:val="ManualBullet"/>
      </w:pPr>
      <w:r>
        <w:rPr>
          <w:rFonts w:ascii="Consolas" w:hAnsi="Consolas"/>
        </w:rPr>
        <w:t>All Regions</w:t>
      </w:r>
      <w:r>
        <w:t xml:space="preserve"> or a specific region</w:t>
      </w:r>
    </w:p>
    <w:p>
      <w:pPr>
        <w:pStyle w:val="ManualBullet"/>
      </w:pPr>
      <w:r>
        <w:rPr>
          <w:rFonts w:ascii="Consolas" w:hAnsi="Consolas"/>
        </w:rPr>
        <w:t>Timeframe</w:t>
      </w:r>
    </w:p>
    <w:p>
      <w:pPr>
        <w:pStyle w:val="ManualBullet"/>
      </w:pPr>
      <w:r>
        <w:rPr>
          <w:rFonts w:ascii="Consolas" w:hAnsi="Consolas"/>
        </w:rPr>
        <w:t>KPI Section</w:t>
      </w:r>
      <w:r>
        <w:t xml:space="preserve"> on the KPI screen</w:t>
      </w:r>
    </w:p>
    <w:p/>
    <w:p>
      <w:r>
        <w:t>Typical timeframe options:</w:t>
      </w:r>
    </w:p>
    <w:p/>
    <w:p>
      <w:pPr>
        <w:pStyle w:val="ManualBullet"/>
      </w:pPr>
      <w:r>
        <w:rPr>
          <w:rFonts w:ascii="Consolas" w:hAnsi="Consolas"/>
        </w:rPr>
        <w:t>All Time</w:t>
      </w:r>
    </w:p>
    <w:p>
      <w:pPr>
        <w:pStyle w:val="ManualBullet"/>
      </w:pPr>
      <w:r>
        <w:rPr>
          <w:rFonts w:ascii="Consolas" w:hAnsi="Consolas"/>
        </w:rPr>
        <w:t>Year</w:t>
      </w:r>
    </w:p>
    <w:p>
      <w:pPr>
        <w:pStyle w:val="ManualBullet"/>
      </w:pPr>
      <w:r>
        <w:rPr>
          <w:rFonts w:ascii="Consolas" w:hAnsi="Consolas"/>
        </w:rPr>
        <w:t>Quarter</w:t>
      </w:r>
    </w:p>
    <w:p>
      <w:pPr>
        <w:pStyle w:val="ManualBullet"/>
      </w:pPr>
      <w:r>
        <w:rPr>
          <w:rFonts w:ascii="Consolas" w:hAnsi="Consolas"/>
        </w:rPr>
        <w:t>Month</w:t>
      </w:r>
    </w:p>
    <w:p>
      <w:pPr>
        <w:pStyle w:val="ManualBullet"/>
      </w:pPr>
      <w:r>
        <w:rPr>
          <w:rFonts w:ascii="Consolas" w:hAnsi="Consolas"/>
        </w:rPr>
        <w:t>Week</w:t>
      </w:r>
    </w:p>
    <w:p>
      <w:pPr>
        <w:pStyle w:val="ManualBullet"/>
      </w:pPr>
      <w:r>
        <w:rPr>
          <w:rFonts w:ascii="Consolas" w:hAnsi="Consolas"/>
        </w:rPr>
        <w:t>Custom Range</w:t>
      </w:r>
    </w:p>
    <w:p/>
    <w:p>
      <w:r>
        <w:t>Best practice:</w:t>
      </w:r>
    </w:p>
    <w:p/>
    <w:p>
      <w:pPr>
        <w:pStyle w:val="ManualBullet"/>
      </w:pPr>
      <w:r>
        <w:t>start broad</w:t>
      </w:r>
    </w:p>
    <w:p>
      <w:pPr>
        <w:pStyle w:val="ManualBullet"/>
      </w:pPr>
      <w:r>
        <w:t>confirm the data is present</w:t>
      </w:r>
    </w:p>
    <w:p>
      <w:pPr>
        <w:pStyle w:val="ManualBullet"/>
      </w:pPr>
      <w:r>
        <w:t>then narrow to the reporting period you need</w:t>
      </w:r>
    </w:p>
    <w:p/>
    <w:p>
      <w:pPr>
        <w:pStyle w:val="Heading1"/>
      </w:pPr>
      <w:r>
        <w:t>4. KPI Dashboard</w:t>
      </w:r>
    </w:p>
    <w:p>
      <w:r>
        <w:t>The KPI Dashboard is the fastest way to review headline figures.</w:t>
      </w:r>
    </w:p>
    <w:p/>
    <w:p>
      <w:pPr>
        <w:pStyle w:val="Heading2"/>
      </w:pPr>
      <w:r>
        <w:t>4.1 Screen tour</w:t>
      </w:r>
    </w:p>
    <w:p>
      <w:r>
        <w:t xml:space="preserve">Use </w:t>
      </w:r>
      <w:r>
        <w:rPr>
          <w:rFonts w:ascii="Consolas" w:hAnsi="Consolas"/>
        </w:rPr>
        <w:t>KPI Section</w:t>
      </w:r>
      <w:r>
        <w:t xml:space="preserve"> to move between:</w:t>
      </w:r>
    </w:p>
    <w:p/>
    <w:p>
      <w:pPr>
        <w:pStyle w:val="ManualBullet"/>
      </w:pPr>
      <w:r>
        <w:rPr>
          <w:rFonts w:ascii="Consolas" w:hAnsi="Consolas"/>
        </w:rPr>
        <w:t>Governance</w:t>
      </w:r>
    </w:p>
    <w:p>
      <w:pPr>
        <w:pStyle w:val="ManualBullet"/>
      </w:pPr>
      <w:r>
        <w:rPr>
          <w:rFonts w:ascii="Consolas" w:hAnsi="Consolas"/>
        </w:rPr>
        <w:t>Partnerships</w:t>
      </w:r>
    </w:p>
    <w:p>
      <w:pPr>
        <w:pStyle w:val="ManualBullet"/>
      </w:pPr>
      <w:r>
        <w:rPr>
          <w:rFonts w:ascii="Consolas" w:hAnsi="Consolas"/>
        </w:rPr>
        <w:t>Delivery</w:t>
      </w:r>
    </w:p>
    <w:p>
      <w:pPr>
        <w:pStyle w:val="ManualBullet"/>
      </w:pPr>
      <w:r>
        <w:rPr>
          <w:rFonts w:ascii="Consolas" w:hAnsi="Consolas"/>
        </w:rPr>
        <w:t>Income</w:t>
      </w:r>
      <w:r>
        <w:t xml:space="preserve"> when region is </w:t>
      </w:r>
      <w:r>
        <w:rPr>
          <w:rFonts w:ascii="Consolas" w:hAnsi="Consolas"/>
        </w:rPr>
        <w:t>Global</w:t>
      </w:r>
    </w:p>
    <w:p>
      <w:pPr>
        <w:pStyle w:val="ManualBullet"/>
      </w:pPr>
      <w:r>
        <w:rPr>
          <w:rFonts w:ascii="Consolas" w:hAnsi="Consolas"/>
        </w:rPr>
        <w:t>Comms</w:t>
      </w:r>
      <w:r>
        <w:t xml:space="preserve"> when region is </w:t>
      </w:r>
      <w:r>
        <w:rPr>
          <w:rFonts w:ascii="Consolas" w:hAnsi="Consolas"/>
        </w:rPr>
        <w:t>Global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/>
    <w:p>
      <w:r>
        <w:t>The page title shows the active region. KPI cards update from the chosen filters.</w:t>
      </w:r>
    </w:p>
    <w:p/>
    <w:p>
      <w:pPr>
        <w:pStyle w:val="Heading2"/>
      </w:pPr>
      <w:r>
        <w:t>4.2 What each section is for</w:t>
      </w:r>
    </w:p>
    <w:p>
      <w:r>
        <w:rPr>
          <w:rFonts w:ascii="Consolas" w:hAnsi="Consolas"/>
        </w:rPr>
        <w:t>Governance</w:t>
      </w:r>
    </w:p>
    <w:p/>
    <w:p>
      <w:pPr>
        <w:pStyle w:val="ManualBullet"/>
      </w:pPr>
      <w:r>
        <w:t>steering group and volunteer-related metrics</w:t>
      </w:r>
    </w:p>
    <w:p>
      <w:pPr>
        <w:pStyle w:val="ManualBullet"/>
      </w:pPr>
      <w:r>
        <w:t>useful for oversight and governance reporting</w:t>
      </w:r>
    </w:p>
    <w:p/>
    <w:p>
      <w:r>
        <w:rPr>
          <w:rFonts w:ascii="Consolas" w:hAnsi="Consolas"/>
        </w:rPr>
        <w:t>Partnerships</w:t>
      </w:r>
    </w:p>
    <w:p/>
    <w:p>
      <w:pPr>
        <w:pStyle w:val="ManualBullet"/>
      </w:pPr>
      <w:r>
        <w:t>active organisations and partnership-related counts</w:t>
      </w:r>
    </w:p>
    <w:p>
      <w:pPr>
        <w:pStyle w:val="ManualBullet"/>
      </w:pPr>
      <w:r>
        <w:t>useful for regional relationship tracking</w:t>
      </w:r>
    </w:p>
    <w:p/>
    <w:p>
      <w:r>
        <w:rPr>
          <w:rFonts w:ascii="Consolas" w:hAnsi="Consolas"/>
        </w:rPr>
        <w:t>Delivery</w:t>
      </w:r>
    </w:p>
    <w:p/>
    <w:p>
      <w:pPr>
        <w:pStyle w:val="ManualBullet"/>
      </w:pPr>
      <w:r>
        <w:t>events delivered</w:t>
      </w:r>
    </w:p>
    <w:p>
      <w:pPr>
        <w:pStyle w:val="ManualBullet"/>
      </w:pPr>
      <w:r>
        <w:t>total participants</w:t>
      </w:r>
    </w:p>
    <w:p>
      <w:pPr>
        <w:pStyle w:val="ManualBullet"/>
      </w:pPr>
      <w:r>
        <w:t>aggregated demographics and other delivery measures</w:t>
      </w:r>
    </w:p>
    <w:p/>
    <w:p>
      <w:r>
        <w:rPr>
          <w:rFonts w:ascii="Consolas" w:hAnsi="Consolas"/>
        </w:rPr>
        <w:t>Income</w:t>
      </w:r>
    </w:p>
    <w:p/>
    <w:p>
      <w:pPr>
        <w:pStyle w:val="ManualBullet"/>
      </w:pPr>
      <w:r>
        <w:t xml:space="preserve">available only when the region is </w:t>
      </w:r>
      <w:r>
        <w:rPr>
          <w:rFonts w:ascii="Consolas" w:hAnsi="Consolas"/>
        </w:rPr>
        <w:t>Global</w:t>
      </w:r>
    </w:p>
    <w:p>
      <w:pPr>
        <w:pStyle w:val="ManualBullet"/>
      </w:pPr>
      <w:r>
        <w:t>funding totals, bids submitted, partner-related measures</w:t>
      </w:r>
    </w:p>
    <w:p/>
    <w:p>
      <w:r>
        <w:rPr>
          <w:rFonts w:ascii="Consolas" w:hAnsi="Consolas"/>
        </w:rPr>
        <w:t>Comms</w:t>
      </w:r>
    </w:p>
    <w:p/>
    <w:p>
      <w:pPr>
        <w:pStyle w:val="ManualBullet"/>
      </w:pPr>
      <w:r>
        <w:t xml:space="preserve">available only when the region is </w:t>
      </w:r>
      <w:r>
        <w:rPr>
          <w:rFonts w:ascii="Consolas" w:hAnsi="Consolas"/>
        </w:rPr>
        <w:t>Global</w:t>
      </w:r>
    </w:p>
    <w:p>
      <w:pPr>
        <w:pStyle w:val="ManualBullet"/>
      </w:pPr>
      <w:r>
        <w:t>communications-related summary measures</w:t>
      </w:r>
    </w:p>
    <w:p/>
    <w:p>
      <w:r>
        <w:rPr>
          <w:rFonts w:ascii="Consolas" w:hAnsi="Consolas"/>
        </w:rPr>
        <w:t>Case Studies</w:t>
      </w:r>
    </w:p>
    <w:p/>
    <w:p>
      <w:pPr>
        <w:pStyle w:val="ManualBullet"/>
      </w:pPr>
      <w:r>
        <w:t>qualitative evidence alongside KPI reporting</w:t>
      </w:r>
    </w:p>
    <w:p/>
    <w:p>
      <w:pPr>
        <w:pStyle w:val="Heading2"/>
      </w:pPr>
      <w:r>
        <w:t>4.3 Drill-down and validation</w:t>
      </w:r>
    </w:p>
    <w:p>
      <w:r>
        <w:t>Click any KPI card to inspect the source records behind the number.</w:t>
      </w:r>
    </w:p>
    <w:p/>
    <w:p>
      <w:r>
        <w:t>Typical flow:</w:t>
      </w:r>
    </w:p>
    <w:p/>
    <w:p>
      <w:pPr>
        <w:pStyle w:val="ManualNumber"/>
      </w:pPr>
      <w:r>
        <w:t>Click the KPI card.</w:t>
      </w:r>
    </w:p>
    <w:p>
      <w:pPr>
        <w:pStyle w:val="ManualNumber"/>
      </w:pPr>
      <w:r>
        <w:t>Review the list of supporting rows.</w:t>
      </w:r>
    </w:p>
    <w:p>
      <w:pPr>
        <w:pStyle w:val="ManualNumber"/>
      </w:pPr>
      <w:r>
        <w:t>Select a row to inspect it in readable detail.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Technical View (JSON)</w:t>
      </w:r>
      <w:r>
        <w:t xml:space="preserve"> only if you need the raw structure.</w:t>
      </w:r>
    </w:p>
    <w:p/>
    <w:p>
      <w:r>
        <w:t>Use drill-down when:</w:t>
      </w:r>
    </w:p>
    <w:p/>
    <w:p>
      <w:pPr>
        <w:pStyle w:val="ManualBullet"/>
      </w:pPr>
      <w:r>
        <w:t>a KPI looks unexpectedly high or low</w:t>
      </w:r>
    </w:p>
    <w:p>
      <w:pPr>
        <w:pStyle w:val="ManualBullet"/>
      </w:pPr>
      <w:r>
        <w:t>you need confidence before sharing a figure</w:t>
      </w:r>
    </w:p>
    <w:p>
      <w:pPr>
        <w:pStyle w:val="ManualBullet"/>
      </w:pPr>
      <w:r>
        <w:t>a stakeholder asks which records are included</w:t>
      </w:r>
    </w:p>
    <w:p/>
    <w:p>
      <w:pPr>
        <w:pStyle w:val="Heading2"/>
      </w:pPr>
      <w:r>
        <w:t>4.4 Important RPL privacy limit</w:t>
      </w:r>
    </w:p>
    <w:p>
      <w:r>
        <w:t xml:space="preserve">In </w:t>
      </w:r>
      <w:r>
        <w:rPr>
          <w:rFonts w:ascii="Consolas" w:hAnsi="Consolas"/>
        </w:rPr>
        <w:t>Delivery &gt; Total Participants</w:t>
      </w:r>
      <w:r>
        <w:t>, RPL users can review totals but not named attendee details or IDs.</w:t>
      </w:r>
    </w:p>
    <w:p/>
    <w:p>
      <w:r>
        <w:t>This is intentional. If participant-level operational detail is required, ask a Manager or Admin to review it in the appropriate view.</w:t>
      </w:r>
    </w:p>
    <w:p/>
    <w:p>
      <w:pPr>
        <w:pStyle w:val="Heading1"/>
      </w:pPr>
      <w:r>
        <w:t>5. Custom Reports Dashboard</w:t>
      </w:r>
    </w:p>
    <w:p>
      <w:r>
        <w:t>The Custom Reports screen is the main self-service analysis workspace for RPL users.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-reports-gu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5.1 What you can do</w:t>
      </w:r>
    </w:p>
    <w:p>
      <w:pPr>
        <w:pStyle w:val="ManualBullet"/>
      </w:pPr>
      <w:r>
        <w:t>combine datasets</w:t>
      </w:r>
    </w:p>
    <w:p>
      <w:pPr>
        <w:pStyle w:val="ManualBullet"/>
      </w:pPr>
      <w:r>
        <w:t>build tables and charts</w:t>
      </w:r>
    </w:p>
    <w:p>
      <w:pPr>
        <w:pStyle w:val="ManualBullet"/>
      </w:pPr>
      <w:r>
        <w:t>narrow by date and region</w:t>
      </w:r>
    </w:p>
    <w:p>
      <w:pPr>
        <w:pStyle w:val="ManualBullet"/>
      </w:pPr>
      <w:r>
        <w:t>apply advanced filters</w:t>
      </w:r>
    </w:p>
    <w:p>
      <w:pPr>
        <w:pStyle w:val="ManualBullet"/>
      </w:pPr>
      <w:r>
        <w:t>download CSV files for offline analysis</w:t>
      </w:r>
    </w:p>
    <w:p/>
    <w:p>
      <w:pPr>
        <w:pStyle w:val="Heading2"/>
      </w:pPr>
      <w:r>
        <w:t>5.2 Datasets</w:t>
      </w:r>
    </w:p>
    <w:p>
      <w:r>
        <w:t>Available datasets:</w:t>
      </w:r>
    </w:p>
    <w:p/>
    <w:p>
      <w:pPr>
        <w:pStyle w:val="ManualBullet"/>
      </w:pPr>
      <w:r>
        <w:rPr>
          <w:rFonts w:ascii="Consolas" w:hAnsi="Consolas"/>
        </w:rPr>
        <w:t>People</w:t>
      </w:r>
    </w:p>
    <w:p>
      <w:pPr>
        <w:pStyle w:val="ManualBullet"/>
      </w:pPr>
      <w:r>
        <w:rPr>
          <w:rFonts w:ascii="Consolas" w:hAnsi="Consolas"/>
        </w:rPr>
        <w:t>Organisations</w:t>
      </w:r>
    </w:p>
    <w:p>
      <w:pPr>
        <w:pStyle w:val="ManualBullet"/>
      </w:pPr>
      <w:r>
        <w:rPr>
          <w:rFonts w:ascii="Consolas" w:hAnsi="Consolas"/>
        </w:rPr>
        <w:t>Events</w:t>
      </w:r>
    </w:p>
    <w:p>
      <w:pPr>
        <w:pStyle w:val="ManualBullet"/>
      </w:pPr>
      <w:r>
        <w:rPr>
          <w:rFonts w:ascii="Consolas" w:hAnsi="Consolas"/>
        </w:rPr>
        <w:t>Payments</w:t>
      </w:r>
    </w:p>
    <w:p>
      <w:pPr>
        <w:pStyle w:val="ManualBullet"/>
      </w:pPr>
      <w:r>
        <w:rPr>
          <w:rFonts w:ascii="Consolas" w:hAnsi="Consolas"/>
        </w:rPr>
        <w:t>Grants</w:t>
      </w:r>
    </w:p>
    <w:p/>
    <w:p>
      <w:pPr>
        <w:pStyle w:val="Heading2"/>
      </w:pPr>
      <w:r>
        <w:t>5.3 Output types</w:t>
      </w:r>
    </w:p>
    <w:p>
      <w:r>
        <w:t>Available outputs:</w:t>
      </w:r>
    </w:p>
    <w:p/>
    <w:p>
      <w:pPr>
        <w:pStyle w:val="ManualBullet"/>
      </w:pPr>
      <w:r>
        <w:rPr>
          <w:rFonts w:ascii="Consolas" w:hAnsi="Consolas"/>
        </w:rPr>
        <w:t>Tabular</w:t>
      </w:r>
    </w:p>
    <w:p>
      <w:pPr>
        <w:pStyle w:val="ManualBullet"/>
      </w:pPr>
      <w:r>
        <w:rPr>
          <w:rFonts w:ascii="Consolas" w:hAnsi="Consolas"/>
        </w:rPr>
        <w:t>Bar</w:t>
      </w:r>
    </w:p>
    <w:p>
      <w:pPr>
        <w:pStyle w:val="ManualBullet"/>
      </w:pPr>
      <w:r>
        <w:rPr>
          <w:rFonts w:ascii="Consolas" w:hAnsi="Consolas"/>
        </w:rPr>
        <w:t>Line</w:t>
      </w:r>
    </w:p>
    <w:p>
      <w:pPr>
        <w:pStyle w:val="ManualBullet"/>
      </w:pPr>
      <w:r>
        <w:rPr>
          <w:rFonts w:ascii="Consolas" w:hAnsi="Consolas"/>
        </w:rPr>
        <w:t>Pie</w:t>
      </w:r>
    </w:p>
    <w:p>
      <w:pPr>
        <w:pStyle w:val="ManualBullet"/>
      </w:pPr>
      <w:r>
        <w:rPr>
          <w:rFonts w:ascii="Consolas" w:hAnsi="Consolas"/>
        </w:rPr>
        <w:t>UK Map</w:t>
      </w:r>
    </w:p>
    <w:p>
      <w:pPr>
        <w:pStyle w:val="ManualBullet"/>
      </w:pPr>
      <w:r>
        <w:rPr>
          <w:rFonts w:ascii="Consolas" w:hAnsi="Consolas"/>
        </w:rPr>
        <w:t>Comparison Analysis</w:t>
      </w:r>
    </w:p>
    <w:p>
      <w:pPr>
        <w:pStyle w:val="ManualBullet"/>
      </w:pPr>
      <w:r>
        <w:rPr>
          <w:rFonts w:ascii="Consolas" w:hAnsi="Consolas"/>
        </w:rPr>
        <w:t>Distance Analysis</w:t>
      </w:r>
    </w:p>
    <w:p/>
    <w:p>
      <w:pPr>
        <w:pStyle w:val="Heading2"/>
      </w:pPr>
      <w:r>
        <w:t>5.4 Standard report workflow</w:t>
      </w:r>
    </w:p>
    <w:p>
      <w:pPr>
        <w:pStyle w:val="ManualNumber"/>
      </w:pPr>
      <w:r>
        <w:t>Choose one or more datasets.</w:t>
      </w:r>
    </w:p>
    <w:p>
      <w:pPr>
        <w:pStyle w:val="ManualNumber"/>
      </w:pPr>
      <w:r>
        <w:t>Select an output type.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Advanced Report Controls</w:t>
      </w:r>
      <w:r>
        <w:t xml:space="preserve"> if you need extra filtering.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>.</w:t>
      </w:r>
    </w:p>
    <w:p>
      <w:pPr>
        <w:pStyle w:val="ManualNumber"/>
      </w:pPr>
      <w:r>
        <w:t>Review the results and export if needed.</w:t>
      </w:r>
    </w:p>
    <w:p/>
    <w:p>
      <w:r>
        <w:t xml:space="preserve">If you change a filter and the report does not move immediately, that is expected until the relevant </w:t>
      </w:r>
      <w:r>
        <w:rPr>
          <w:rFonts w:ascii="Consolas" w:hAnsi="Consolas"/>
        </w:rPr>
        <w:t>Apply</w:t>
      </w:r>
      <w:r>
        <w:t xml:space="preserve"> button is clicked.</w:t>
      </w:r>
    </w:p>
    <w:p/>
    <w:p>
      <w:pPr>
        <w:pStyle w:val="Heading2"/>
      </w:pPr>
      <w:r>
        <w:t>5.5 Advanced filtering</w:t>
      </w:r>
    </w:p>
    <w:p>
      <w:r>
        <w:t>Advanced controls can be used to limit the result set by:</w:t>
      </w:r>
    </w:p>
    <w:p/>
    <w:p>
      <w:pPr>
        <w:pStyle w:val="ManualBullet"/>
      </w:pPr>
      <w:r>
        <w:t>dataset</w:t>
      </w:r>
    </w:p>
    <w:p>
      <w:pPr>
        <w:pStyle w:val="ManualBullet"/>
      </w:pPr>
      <w:r>
        <w:t>category</w:t>
      </w:r>
    </w:p>
    <w:p>
      <w:pPr>
        <w:pStyle w:val="ManualBullet"/>
      </w:pPr>
      <w:r>
        <w:t>status</w:t>
      </w:r>
    </w:p>
    <w:p>
      <w:pPr>
        <w:pStyle w:val="ManualBullet"/>
      </w:pPr>
      <w:r>
        <w:t>metric value range</w:t>
      </w:r>
    </w:p>
    <w:p>
      <w:pPr>
        <w:pStyle w:val="ManualBullet"/>
      </w:pPr>
      <w:r>
        <w:t>rows with valid dates only</w:t>
      </w:r>
    </w:p>
    <w:p/>
    <w:p>
      <w:r>
        <w:t>This is useful for tidying large mixed reports before export.</w:t>
      </w:r>
    </w:p>
    <w:p/>
    <w:p>
      <w:pPr>
        <w:pStyle w:val="Heading2"/>
      </w:pPr>
      <w:r>
        <w:t>5.6 Distance Analysis</w:t>
      </w:r>
    </w:p>
    <w:p>
      <w:r>
        <w:t>Distance Analysis estimates participant travel from home postcode to the event location.</w:t>
      </w:r>
    </w:p>
    <w:p/>
    <w:p>
      <w:r>
        <w:t>It can show:</w:t>
      </w:r>
    </w:p>
    <w:p/>
    <w:p>
      <w:pPr>
        <w:pStyle w:val="ManualBullet"/>
      </w:pPr>
      <w:r>
        <w:t>participant journey count</w:t>
      </w:r>
    </w:p>
    <w:p>
      <w:pPr>
        <w:pStyle w:val="ManualBullet"/>
      </w:pPr>
      <w:r>
        <w:t>average, median, and maximum distance</w:t>
      </w:r>
    </w:p>
    <w:p>
      <w:pPr>
        <w:pStyle w:val="ManualBullet"/>
      </w:pPr>
      <w:r>
        <w:t>distance bands</w:t>
      </w:r>
    </w:p>
    <w:p>
      <w:pPr>
        <w:pStyle w:val="ManualBullet"/>
      </w:pPr>
      <w:r>
        <w:t>events ranked by average travel distance</w:t>
      </w:r>
    </w:p>
    <w:p>
      <w:pPr>
        <w:pStyle w:val="ManualBullet"/>
      </w:pPr>
      <w:r>
        <w:t>participant-level journey rows</w:t>
      </w:r>
    </w:p>
    <w:p/>
    <w:p>
      <w:r>
        <w:t>Recommended workflow:</w:t>
      </w:r>
    </w:p>
    <w:p/>
    <w:p>
      <w:pPr>
        <w:pStyle w:val="ManualNumber"/>
      </w:pPr>
      <w:r>
        <w:t xml:space="preserve">Set </w:t>
      </w:r>
      <w:r>
        <w:rPr>
          <w:rFonts w:ascii="Consolas" w:hAnsi="Consolas"/>
        </w:rPr>
        <w:t>Output Type</w:t>
      </w:r>
      <w:r>
        <w:t xml:space="preserve"> to </w:t>
      </w:r>
      <w:r>
        <w:rPr>
          <w:rFonts w:ascii="Consolas" w:hAnsi="Consolas"/>
        </w:rPr>
        <w:t>Distance Analysis</w:t>
      </w:r>
      <w:r>
        <w:t>.</w:t>
      </w:r>
    </w:p>
    <w:p>
      <w:pPr>
        <w:pStyle w:val="ManualNumber"/>
      </w:pPr>
      <w:r>
        <w:t xml:space="preserve">Keep </w:t>
      </w:r>
      <w:r>
        <w:rPr>
          <w:rFonts w:ascii="Consolas" w:hAnsi="Consolas"/>
        </w:rPr>
        <w:t>Events</w:t>
      </w:r>
      <w:r>
        <w:t xml:space="preserve"> selected in the dataset filter.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>Limit to event types if needed.</w:t>
      </w:r>
    </w:p>
    <w:p>
      <w:pPr>
        <w:pStyle w:val="ManualNumber"/>
      </w:pPr>
      <w:r>
        <w:t xml:space="preserve">Decide whether to keep </w:t>
      </w:r>
      <w:r>
        <w:rPr>
          <w:rFonts w:ascii="Consolas" w:hAnsi="Consolas"/>
        </w:rPr>
        <w:t>Only include rows with resolved distance</w:t>
      </w:r>
      <w:r>
        <w:t xml:space="preserve"> turned on.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Drill down into event</w:t>
      </w:r>
      <w:r>
        <w:t xml:space="preserve"> to inspect one event in detail.</w:t>
      </w:r>
    </w:p>
    <w:p>
      <w:pPr>
        <w:pStyle w:val="ManualNumber"/>
      </w:pPr>
      <w:r>
        <w:t>Download the selected-event or full CSV when needed.</w:t>
      </w:r>
    </w:p>
    <w:p/>
    <w:p>
      <w:r>
        <w:t>Important notes:</w:t>
      </w:r>
    </w:p>
    <w:p/>
    <w:p>
      <w:pPr>
        <w:pStyle w:val="ManualBullet"/>
      </w:pPr>
      <w:r>
        <w:t>road distance is used when routing is configured</w:t>
      </w:r>
    </w:p>
    <w:p>
      <w:pPr>
        <w:pStyle w:val="ManualBullet"/>
      </w:pPr>
      <w:r>
        <w:t>otherwise the report falls back to straight-line miles</w:t>
      </w:r>
    </w:p>
    <w:p>
      <w:pPr>
        <w:pStyle w:val="ManualBullet"/>
      </w:pPr>
      <w:r>
        <w:t>missing participant or event postcode data will reduce the available rows</w:t>
      </w:r>
    </w:p>
    <w:p/>
    <w:p>
      <w:pPr>
        <w:pStyle w:val="Heading1"/>
      </w:pPr>
      <w:r>
        <w:t>6. Case Studies</w:t>
      </w:r>
    </w:p>
    <w:p>
      <w:r>
        <w:t>Case Studies adds qualitative evidence to the numbers.</w:t>
      </w:r>
    </w:p>
    <w:p/>
    <w:p>
      <w:r>
        <w:t>Use it to:</w:t>
      </w:r>
    </w:p>
    <w:p/>
    <w:p>
      <w:pPr>
        <w:pStyle w:val="ManualBullet"/>
      </w:pPr>
      <w:r>
        <w:t>read regional stories and testimonials</w:t>
      </w:r>
    </w:p>
    <w:p>
      <w:pPr>
        <w:pStyle w:val="ManualBullet"/>
      </w:pPr>
      <w:r>
        <w:t>filter by date and region</w:t>
      </w:r>
    </w:p>
    <w:p>
      <w:pPr>
        <w:pStyle w:val="ManualBullet"/>
      </w:pPr>
      <w:r>
        <w:t>upload a new case study for future reporting</w:t>
      </w:r>
    </w:p>
    <w:p/>
    <w:p>
      <w:r>
        <w:t>Suggested workflow for uploads: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 xml:space="preserve">Choose </w:t>
      </w:r>
      <w:r>
        <w:rPr>
          <w:rFonts w:ascii="Consolas" w:hAnsi="Consolas"/>
        </w:rPr>
        <w:t>Upload New Case Study</w:t>
      </w:r>
      <w:r>
        <w:t>.</w:t>
      </w:r>
    </w:p>
    <w:p>
      <w:pPr>
        <w:pStyle w:val="ManualNumber"/>
      </w:pPr>
      <w:r>
        <w:t>Add a clear title.</w:t>
      </w:r>
    </w:p>
    <w:p>
      <w:pPr>
        <w:pStyle w:val="ManualNumber"/>
      </w:pPr>
      <w:r>
        <w:t>Paste the story or testimonial.</w:t>
      </w:r>
    </w:p>
    <w:p>
      <w:pPr>
        <w:pStyle w:val="ManualNumber"/>
      </w:pPr>
      <w:r>
        <w:t>Enter the correct date.</w:t>
      </w:r>
    </w:p>
    <w:p>
      <w:pPr>
        <w:pStyle w:val="ManualNumber"/>
      </w:pPr>
      <w:r>
        <w:t>Assign the correct region.</w:t>
      </w:r>
    </w:p>
    <w:p>
      <w:pPr>
        <w:pStyle w:val="ManualNumber"/>
      </w:pPr>
      <w:r>
        <w:t>Submit and review the saved result.</w:t>
      </w:r>
    </w:p>
    <w:p/>
    <w:p>
      <w:pPr>
        <w:pStyle w:val="Heading1"/>
      </w:pPr>
      <w:r>
        <w:t>7. Typical RPL tasks</w:t>
      </w:r>
    </w:p>
    <w:p>
      <w:pPr>
        <w:pStyle w:val="Heading2"/>
      </w:pPr>
      <w:r>
        <w:t>Check a KPI before a meeting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KPI Dashboard</w:t>
      </w:r>
      <w:r>
        <w:t>.</w:t>
      </w:r>
    </w:p>
    <w:p>
      <w:pPr>
        <w:pStyle w:val="ManualNumber"/>
      </w:pPr>
      <w:r>
        <w:t>Choose the right section.</w:t>
      </w:r>
    </w:p>
    <w:p>
      <w:pPr>
        <w:pStyle w:val="ManualNumber"/>
      </w:pPr>
      <w:r>
        <w:t>Set the region and timeframe.</w:t>
      </w:r>
    </w:p>
    <w:p>
      <w:pPr>
        <w:pStyle w:val="ManualNumber"/>
      </w:pPr>
      <w:r>
        <w:t>Click the KPI card to validate the supporting rows.</w:t>
      </w:r>
    </w:p>
    <w:p/>
    <w:p>
      <w:pPr>
        <w:pStyle w:val="Heading2"/>
      </w:pPr>
      <w:r>
        <w:t>Prepare a CSV for offline analysis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>Choose the relevant dataset and output type.</w:t>
      </w:r>
    </w:p>
    <w:p>
      <w:pPr>
        <w:pStyle w:val="ManualNumber"/>
      </w:pPr>
      <w:r>
        <w:t>Apply filters.</w:t>
      </w:r>
    </w:p>
    <w:p>
      <w:pPr>
        <w:pStyle w:val="ManualNumber"/>
      </w:pPr>
      <w:r>
        <w:t>Refine with advanced controls if required.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Download Report CSV</w:t>
      </w:r>
      <w:r>
        <w:t>.</w:t>
      </w:r>
    </w:p>
    <w:p/>
    <w:p>
      <w:pPr>
        <w:pStyle w:val="Heading2"/>
      </w:pPr>
      <w:r>
        <w:t>Add a case study to support a monthly update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Filter first to avoid duplicating an existing story.</w:t>
      </w:r>
    </w:p>
    <w:p>
      <w:pPr>
        <w:pStyle w:val="ManualNumber"/>
      </w:pPr>
      <w:r>
        <w:t>Upload the new case study with a clear title and date.</w:t>
      </w:r>
    </w:p>
    <w:p/>
    <w:p>
      <w:pPr>
        <w:pStyle w:val="Heading1"/>
      </w:pPr>
      <w:r>
        <w:t>8. Troubleshooting</w:t>
      </w:r>
    </w:p>
    <w:p>
      <w:pPr>
        <w:pStyle w:val="Heading2"/>
      </w:pPr>
      <w:r>
        <w:t>I see no KPI data</w:t>
      </w:r>
    </w:p>
    <w:p>
      <w:pPr>
        <w:pStyle w:val="ManualBullet"/>
      </w:pPr>
      <w:r>
        <w:t>check region and timeframe first</w:t>
      </w:r>
    </w:p>
    <w:p>
      <w:pPr>
        <w:pStyle w:val="ManualBullet"/>
      </w:pPr>
      <w:r>
        <w:t xml:space="preserve">try </w:t>
      </w:r>
      <w:r>
        <w:rPr>
          <w:rFonts w:ascii="Consolas" w:hAnsi="Consolas"/>
        </w:rPr>
        <w:t>All Regions</w:t>
      </w:r>
      <w:r>
        <w:t xml:space="preserve"> and </w:t>
      </w:r>
      <w:r>
        <w:rPr>
          <w:rFonts w:ascii="Consolas" w:hAnsi="Consolas"/>
        </w:rPr>
        <w:t>All Time</w:t>
      </w:r>
    </w:p>
    <w:p>
      <w:pPr>
        <w:pStyle w:val="ManualBullet"/>
      </w:pPr>
      <w:r>
        <w:t>confirm you are on the correct KPI section</w:t>
      </w:r>
    </w:p>
    <w:p/>
    <w:p>
      <w:pPr>
        <w:pStyle w:val="Heading2"/>
      </w:pPr>
      <w:r>
        <w:t>The report looks unchanged</w:t>
      </w:r>
    </w:p>
    <w:p>
      <w:pPr>
        <w:pStyle w:val="ManualBullet"/>
      </w:pPr>
      <w:r>
        <w:t xml:space="preserve">click </w:t>
      </w:r>
      <w:r>
        <w:rPr>
          <w:rFonts w:ascii="Consolas" w:hAnsi="Consolas"/>
        </w:rPr>
        <w:t>Apply Report Filters</w:t>
      </w:r>
    </w:p>
    <w:p>
      <w:pPr>
        <w:pStyle w:val="ManualBullet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you changed advanced controls</w:t>
      </w:r>
    </w:p>
    <w:p/>
    <w:p>
      <w:pPr>
        <w:pStyle w:val="Heading2"/>
      </w:pPr>
      <w:r>
        <w:t>Distance Analysis shows no rows</w:t>
      </w:r>
    </w:p>
    <w:p>
      <w:pPr>
        <w:pStyle w:val="ManualBullet"/>
      </w:pPr>
      <w:r>
        <w:t xml:space="preserve">confirm </w:t>
      </w:r>
      <w:r>
        <w:rPr>
          <w:rFonts w:ascii="Consolas" w:hAnsi="Consolas"/>
        </w:rPr>
        <w:t>Events</w:t>
      </w:r>
      <w:r>
        <w:t xml:space="preserve"> is included as a dataset</w:t>
      </w:r>
    </w:p>
    <w:p>
      <w:pPr>
        <w:pStyle w:val="ManualBullet"/>
      </w:pPr>
      <w:r>
        <w:t>widen the date range</w:t>
      </w:r>
    </w:p>
    <w:p>
      <w:pPr>
        <w:pStyle w:val="ManualBullet"/>
      </w:pPr>
      <w:r>
        <w:t xml:space="preserve">try clearing </w:t>
      </w:r>
      <w:r>
        <w:rPr>
          <w:rFonts w:ascii="Consolas" w:hAnsi="Consolas"/>
        </w:rPr>
        <w:t>Only include rows with resolved distance</w:t>
      </w:r>
    </w:p>
    <w:p/>
    <w:p>
      <w:pPr>
        <w:pStyle w:val="Heading2"/>
      </w:pPr>
      <w:r>
        <w:t>I cannot see participant names</w:t>
      </w:r>
    </w:p>
    <w:p>
      <w:pPr>
        <w:pStyle w:val="ManualBullet"/>
      </w:pPr>
      <w:r>
        <w:t>that is expected for the RPL role in KPI drill-downs</w:t>
      </w:r>
    </w:p>
    <w:p/>
    <w:p>
      <w:pPr>
        <w:pStyle w:val="Heading1"/>
      </w:pPr>
      <w:r>
        <w:t>9. Good working practice</w:t>
      </w:r>
    </w:p>
    <w:p>
      <w:pPr>
        <w:pStyle w:val="ManualBullet"/>
      </w:pPr>
      <w:r>
        <w:t>use KPI cards for fast monitoring</w:t>
      </w:r>
    </w:p>
    <w:p>
      <w:pPr>
        <w:pStyle w:val="ManualBullet"/>
      </w:pPr>
      <w:r>
        <w:t>use Custom Reports when you need evidence, export, or charting</w:t>
      </w:r>
    </w:p>
    <w:p>
      <w:pPr>
        <w:pStyle w:val="ManualBullet"/>
      </w:pPr>
      <w:r>
        <w:t>validate unusual numbers with drill-down before circulating them</w:t>
      </w:r>
    </w:p>
    <w:p>
      <w:pPr>
        <w:pStyle w:val="ManualBullet"/>
      </w:pPr>
      <w:r>
        <w:t>pair a quantitative report with a case study where possible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