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34"/>
          <w:szCs w:val="34"/>
        </w:rPr>
        <w:t xml:space="preserve">药物筛选模型双路线研究方案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背景依据  方法设计  十二周实施计划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编制日期 2026年9月9日｜使用对象 项目研发者｜范围 公开数据上的计算模型研发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方案结论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设计两条独立路线。路线 A 继承 XPert／TranSiGen 式药物扰动预测，通过疾病签名逆转生成候选药物；路线 B 采用 PharmaFormer 式直接药敏任务，从基线表达与药物信息预测功能反应，但不依赖 PharmaFormer 的权重、论文指标或未复现的处理流程。两条均以已有资产为起点。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建议默认优先路线 A，因为研发者在该任务上的代码、经验和标签积累最多；若项目验收明确要求直接药敏排序，则选择路线 B。第一至二周只做一次小规模可行性检查，随后主攻一条，不安排两套完整研发同时运行。此建议不代表路线 A 已有更强科学证据。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00"/>
        <w:gridCol w:w="6800"/>
      </w:tblGrid>
      <w:tr>
        <w:trPr>
          <w:cantSplit/>
          <w:tblHeader/>
        </w:trPr>
        <w:tc>
          <w:tcPr>
            <w:tcW w:type="dxa" w:w="24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项目约束</w:t>
            </w:r>
          </w:p>
        </w:tc>
        <w:tc>
          <w:tcPr>
            <w:tcW w:type="dxa" w:w="68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设计响应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单人研发  三个月</w:t>
            </w:r>
          </w:p>
        </w:tc>
        <w:tc>
          <w:tcPr>
            <w:tcW w:type="dxa" w:w="68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一个主干 一个核心改动 一套冻结评测；不从头训练大模型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暂无自有湿实验数据</w:t>
            </w:r>
          </w:p>
        </w:tc>
        <w:tc>
          <w:tcPr>
            <w:tcW w:type="dxa" w:w="68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正式结论仅来自公开数据；不把湿实验作为十二周必要交付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最终希望用于 TNBC PDO</w:t>
            </w:r>
          </w:p>
        </w:tc>
        <w:tc>
          <w:tcPr>
            <w:tcW w:type="dxa" w:w="68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保留为应用方向；无对应标签时不声称 TNBC 个体化药效已验证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PharmaFormer 复现不确定</w:t>
            </w:r>
          </w:p>
        </w:tc>
        <w:tc>
          <w:tcPr>
            <w:tcW w:type="dxa" w:w="68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保留历史结果；路线 B 采用可控基线，不继续追逐其论文数字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已有多个阴性实验</w:t>
            </w:r>
          </w:p>
        </w:tc>
        <w:tc>
          <w:tcPr>
            <w:tcW w:type="dxa" w:w="68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将阴性结果用于限定方法与停止条件，避免重复残差头和模块堆叠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十二周应获得什么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获得可复跑基线、一项明确的方法改进及必要消融、固定评测上的增益与边界、完整图表和论文初稿。不能承诺正结果、录用或临床效用。方案设计本身不等于实验完成；本文不启动训练，也不占用新的 EXP 编号。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阅读方式：第2至3页说明证据与问题；第4至6页为路线 A；第7至9页为路线 B；第10至12页为共同验收、排期和执行接口；第13页列出参考依据。</w:t>
      </w:r>
    </w:p>
    <w:p>
      <w:pPr>
        <w:sectPr>
          <w:footerReference w:type="default" r:id="rId7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一  当前处境与已有证据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哪些成果可以继承  哪些结论不能扩大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研发者具有计算机背景，已长期投入 TranSiGen 改进、XPert 与 PharmaFormer 相关复现。当前障碍是模型训练终点、逆转评分、细胞系药敏与 PDO 功能反应之间缺少统一证据链，而不是已经证明所有数据或模型都无效。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3000"/>
        <w:gridCol w:w="3000"/>
      </w:tblGrid>
      <w:tr>
        <w:trPr>
          <w:cantSplit/>
          <w:tblHeader/>
        </w:trPr>
        <w:tc>
          <w:tcPr>
            <w:tcW w:type="dxa" w:w="32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事实或结果</w:t>
            </w:r>
          </w:p>
        </w:tc>
        <w:tc>
          <w:tcPr>
            <w:tcW w:type="dxa" w:w="30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可以说明</w:t>
            </w:r>
          </w:p>
        </w:tc>
        <w:tc>
          <w:tcPr>
            <w:tcW w:type="dxa" w:w="30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不能说明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DPR 历史 CRC PDO 中位 Spearman 约0.418 [L1]</w:t>
            </w:r>
          </w:p>
        </w:tc>
        <w:tc>
          <w:tcPr>
            <w:tcW w:type="dxa" w:w="3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旧协议输出可数值复现</w:t>
            </w:r>
          </w:p>
        </w:tc>
        <w:tc>
          <w:tcPr>
            <w:tcW w:type="dxa" w:w="3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超过药物主效应或适用于 TNBC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EXP-007 实测扰动逆转排名接近 null [L2]</w:t>
            </w:r>
          </w:p>
        </w:tc>
        <w:tc>
          <w:tcPr>
            <w:tcW w:type="dxa" w:w="30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特定 CRC签名与PRISM条件的桥接未获支持</w:t>
            </w:r>
          </w:p>
        </w:tc>
        <w:tc>
          <w:tcPr>
            <w:tcW w:type="dxa" w:w="30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逆转理论在所有疾病中无效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EXP-012 v7 Ridge 约0.153  M3约0.016 [L3]</w:t>
            </w:r>
          </w:p>
        </w:tc>
        <w:tc>
          <w:tcPr>
            <w:tcW w:type="dxa" w:w="3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现有适配未超过该Ridge对照</w:t>
            </w:r>
          </w:p>
        </w:tc>
        <w:tc>
          <w:tcPr>
            <w:tcW w:type="dxa" w:w="3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不存在任何可预测信号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mCRC 52患者 91 PDO 49药 [L4]</w:t>
            </w:r>
          </w:p>
        </w:tc>
        <w:tc>
          <w:tcPr>
            <w:tcW w:type="dxa" w:w="30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可进行患者分组的探索性预测</w:t>
            </w:r>
          </w:p>
        </w:tc>
        <w:tc>
          <w:tcPr>
            <w:tcW w:type="dxa" w:w="30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91个独立患者或TNBC验证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Zhu 20患者 64药 [L4]</w:t>
            </w:r>
          </w:p>
        </w:tc>
        <w:tc>
          <w:tcPr>
            <w:tcW w:type="dxa" w:w="3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可作第二PDO队列检验</w:t>
            </w:r>
          </w:p>
        </w:tc>
        <w:tc>
          <w:tcPr>
            <w:tcW w:type="dxa" w:w="3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足够支持复杂模型或完全独立盲测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上述数值来自不同协议，不能横向比较后给模型排名。EXP-012 的 v7 数字是两个队列逐药指标的等权汇总；队列内 Ridge 约为 mCRC 0.025、Zhu 0.282。应保留逐队列结果。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当前最容易误用的两类材料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炎症类器官仅有疾病差异基因和一个已知有效药。它可作为冻结后的探索案例；缺少面板药敏和处理后表达，无法估计整体排名或扰动预测准确率，不能调参到该药排前列后再宣称验证。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主目录 PROJECT_STATE 与实验注册表停留在较早阶段，EXP-012 记录位于独立工作区，数据目录包含多个版本。正式运行只核对选中轨道的记录、代码、数据哈希与预测版本，不开展全仓库重整。[L5]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历史阴性结果如何处理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EXP-002 的条件基线未获支持，EXP-006 遗传预训练未改善既定化学扰动任务，EXP-012 多个残差方案未过门槛。新方法必须与这些实际实现核对：相同思路已有结果时直接继承；只有机制上明确不同、且有新假设的改动才进入实验。</w:t>
      </w:r>
    </w:p>
    <w:p>
      <w:pPr>
        <w:sectPr>
          <w:footerReference w:type="default" r:id="rId8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二  两类模型的科学依据与任务边界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固定预测对象  才能解释性能变化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路线 A 的依据与风险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CMap 提出用表达签名连接疾病、药物与机制；L1000 提供大规模扰动测量，TranSiGen、XPert 则学习从细胞背景和药物预测转录响应。[1–4] 逆转是有研究依据的候选生成策略，但不是普遍成立的药效公式。疾病差异可能混有细胞组成、应激或保护性反应；毒性和增殖也会主导扰动签名。[6]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因此路线 A 有两个独立命题：能否预测新的细胞背景中的扰动；这些扰动经固定评分后能否改善候选排名。前者成立不自动推出后者。EXP-007 已限制当时的 CRC／PRISM 逆转解释，不应重复完整旧试验或忽略阴性结果。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路线 B 的依据与风险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路线 B 直接用配对药敏监督学习表达与反应关系，避免先假设表达逆转一定对应药效。PharmaFormer、CODE-AE 与 Velodrome 提供任务或迁移思路，但本项目需在自己的数据合同下独立验证。[5,9,10] 期刊声望不是可靠性的判定标准；数据、代码和实际结果是否可核对才决定能否复用。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药物平均效应是有用基线，不应视为假信号。个体化模型必须证明患者信息的额外价值。现代基准研究同样强调平均药物效应、划分方式和简单基线对结果解释的影响。[7]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0"/>
        <w:gridCol w:w="3200"/>
        <w:gridCol w:w="3200"/>
      </w:tblGrid>
      <w:tr>
        <w:trPr>
          <w:cantSplit/>
          <w:tblHeader/>
        </w:trPr>
        <w:tc>
          <w:tcPr>
            <w:tcW w:type="dxa" w:w="28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比较对象</w:t>
            </w:r>
          </w:p>
        </w:tc>
        <w:tc>
          <w:tcPr>
            <w:tcW w:type="dxa" w:w="32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回答的问题</w:t>
            </w:r>
          </w:p>
        </w:tc>
        <w:tc>
          <w:tcPr>
            <w:tcW w:type="dxa" w:w="32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主要限制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处理后表达与实测表达</w:t>
            </w:r>
          </w:p>
        </w:tc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是否重构表达状态</w:t>
            </w:r>
          </w:p>
        </w:tc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易被基线表达主导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预测Δ与实测Δ</w:t>
            </w:r>
          </w:p>
        </w:tc>
        <w:tc>
          <w:tcPr>
            <w:tcW w:type="dxa" w:w="3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是否预测扰动变化</w:t>
            </w:r>
          </w:p>
        </w:tc>
        <w:tc>
          <w:tcPr>
            <w:tcW w:type="dxa" w:w="3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仍可能只学共同药物效应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同患者的药物排序</w:t>
            </w:r>
          </w:p>
        </w:tc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能否优先选出强反应药</w:t>
            </w:r>
          </w:p>
        </w:tc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可能由普遍药物强弱解释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同药跨患者的反应排序</w:t>
            </w:r>
          </w:p>
        </w:tc>
        <w:tc>
          <w:tcPr>
            <w:tcW w:type="dxa" w:w="3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能否区分个体反应</w:t>
            </w:r>
          </w:p>
        </w:tc>
        <w:tc>
          <w:tcPr>
            <w:tcW w:type="dxa" w:w="3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样本少时不稳定；非因果解释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体外药敏的定义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IC50、AUC、DSS、活力分别刻画不同方面，不能统一称作临床疗效。剂量范围、时间、最大效应和增殖速度会影响排名；GR类指标需要相应起始量等测量，缺少时不能补造。[8] 本方案以数据来源定义的体外反应为真值，按队列保留尺度与方向，不承诺正常组织安全或患者获益。</w:t>
      </w:r>
    </w:p>
    <w:p>
      <w:pPr>
        <w:sectPr>
          <w:footerReference w:type="default" r:id="rId9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三  路线 A 的研究问题与模型设计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背景差异监督的药物扰动预测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研究目标与候选创新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研究问题：同药、同剂量时间在不同细胞中引起的差异，能否被模型在未见细胞上预测？候选贡献是以匹配背景差异监督约束现有模型的条件分支，而非增加一个通用残差头或仅提高完整表达相关系数。分解式模型与条件建模已有研究基础，不能将分解本身宣称首次提出。[3,4,11]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输入与输出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输入为处理前表达 x、药物表示 z、剂量 d 与时间 t；输出为实测基因空间中的扰动 Δ̂。优先保留已有 exact978 合同和成熟 SDST 条件；不同时增加未见药物、剂量外推和多组学。主任务是未见细胞背景，已见药物允许出现于训练侧。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最小实现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先固定一个本地可复跑主干。XPert 若接口与基线均可核对则优先复用；否则继承 DPR 的可控 TranSiGen 实现。不得以新论文排名为理由在实验中途更换主干。使用一个小型交互适配器修正原预测，其初始输出设为零，保留原模型作为明确起点。</w:t>
      </w:r>
    </w:p>
    <w:p>
      <w:pPr>
        <w:spacing w:after="140" w:before="60" w:line="320" w:lineRule="exac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预测形式  Δ̂(c,d,t,z) = F₀(xc,z,d,t) + Hθ(xc,z,d,t)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F₀ 为现有主干，第一轮冻结；Hθ 可由表达投影和药物投影的低秩交互组成，再投影回978维。首轮只研究冻结主干加适配器；解冻主干是后续选项，不与第一轮混做。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训练目标</w:t>
      </w:r>
    </w:p>
    <w:p>
      <w:pPr>
        <w:spacing w:after="140" w:before="60" w:line="320" w:lineRule="exac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L = L扰动重构 + λ L背景差异 + β L参数约束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重构项采用原合同尺度上的 Huber 或 MSE。背景差异项比较：同药同剂量时间下两细胞的预测差 Δ̂c1−Δ̂c2，与实测差 Δc1−Δc2。二者都必须来自训练细胞。每个药物条件组等权采样，限制每组配对数，避免大组按平方规模主导训练。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λ=0 是必须保留的消融，β与适配器容量在相同内层验证预算下选择。零输出或简单对照只用于实现检查，不能证明生物学可学习性。配对损失可能放大噪声，需依靠匹配和重复支持；不把所有跨细胞差异都当作真实生物信号。</w:t>
      </w:r>
    </w:p>
    <w:p>
      <w:pPr>
        <w:sectPr>
          <w:footerReference w:type="default" r:id="rId10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四  路线 A 的数据与评测合同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先保留单一条件  再检验背景泛化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使用与匹配规则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复用 LINCS 既有原始资产、对照匹配和模型输入缓存。Level 3 表达、Level 4 标准化差异和 Level 5 共识签名含义不同，不交叉当作同一监督标签。Δ只按选定合同生成，原始文件只读。重复处理在划分后执行，禁止将同一生物对象的重复拆到训练和测试。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生成紧凑条件覆盖表：药物×剂量×时间包含的训练细胞数、重复数、对照来源和批次。只有至少两个合法训练细胞的组用于背景差异损失；该条件只是可构造配对，不代表统计功效充分。批次与细胞完全混杂时，不能声称分离了细胞因果效应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划分与主要指标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保留或冻结基于细胞身份的外层分组划分，超参数只使用训练细胞内层验证。主指标建议为同药条件组中跨测试细胞、逐基因的 Pearson 相关，先在组内汇总，再按组等权汇总。至少5个有效测试细胞且方差非零的项纳入，并报告覆盖量；这是预设的最低计算门槛，不保证估计稳定。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若原有划分不支持该指标，不读取模型成绩挑划分；第1周仅依据身份与覆盖冻结可用划分。若足够背景覆盖无法形成，路线 A 的该候选目标暂不具备可检验性，不用低支持数凑主终点。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辅指标包括逐样本 Δ Spearman、Δ RMSE、训练侧定义基因集上的方向一致性，以及配对差异误差。变化基因筛选不得使用测试响应；近零变化方向不稳定，训练侧阈值与覆盖率必须记录。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600"/>
        <w:gridCol w:w="5600"/>
      </w:tblGrid>
      <w:tr>
        <w:trPr>
          <w:cantSplit/>
          <w:tblHeader/>
        </w:trPr>
        <w:tc>
          <w:tcPr>
            <w:tcW w:type="dxa" w:w="36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对照</w:t>
            </w:r>
          </w:p>
        </w:tc>
        <w:tc>
          <w:tcPr>
            <w:tcW w:type="dxa" w:w="56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原主干 F₀</w:t>
            </w:r>
          </w:p>
        </w:tc>
        <w:tc>
          <w:tcPr>
            <w:tcW w:type="dxa" w:w="5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保证继承已有结果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同容量适配器 λ=0</w:t>
            </w:r>
          </w:p>
        </w:tc>
        <w:tc>
          <w:tcPr>
            <w:tcW w:type="dxa" w:w="5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排除仅增加容量的解释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适配器与背景差异监督</w:t>
            </w:r>
          </w:p>
        </w:tc>
        <w:tc>
          <w:tcPr>
            <w:tcW w:type="dxa" w:w="5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检验唯一方法改动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训练侧逐药条件平均Δ</w:t>
            </w:r>
          </w:p>
        </w:tc>
        <w:tc>
          <w:tcPr>
            <w:tcW w:type="dxa" w:w="5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识别共同药物效应能做到多少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配对对照必须使用相同训练预算、特征与随机种子。参数量和实际运行时均报告。只有多种子与分组不确定性支持一致增量时，才进入外部筛药分析；一次单折上升仅是开发信号。</w:t>
      </w:r>
    </w:p>
    <w:p>
      <w:pPr>
        <w:sectPr>
          <w:footerReference w:type="default" r:id="rId11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五  路线 A 的下游闭环与阶段验收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扰动模型贡献与筛药贡献分别检验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固定下游流程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先核对已有 DPR 和 EXP-007 的候选药面板、签名来源、细胞背景、时间剂量及标签定义，选择一个已有合法评测作为下游。签名、评分方法与候选集在读取新模型结果前冻结。只有同时具有实测扰动和功能标签的匹配部分，才做实测对预测的诊断；其余部分分别报告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比较实测扰动逆转、原模型逆转、新模型逆转和简单药物排序。实测扰动是定位断点的诊断参考，不是无噪声的理论上限。EXP-007 的旧阴性结果直接引用；除非合同或数据发生有理由的变更，不重新运行同一全量实验。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成功和停止条件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模型层成功：主指标相对原模型和同容量对照均出现稳定增量，区间支持正向效应；整体Δ误差不出现超过预先约定容忍度的恶化。容忍度在正式运行前依据原基线尺度冻结，不根据测试表现事后决定。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应用层成功：在同一候选面板和独立功能标签下，下游排名相对原逆转评分改善，且不是药物普遍效应即可解释。只有模型层成功时，成果限定为扰动泛化；只有应用层也通过时，才提出筛药增益。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第2周若训练配对支持不足、原基线无法复跑，或无法找到与历史不同的机制性改动，就暂停本候选。第4至6周若改动不优于同容量对照，则保留结论并停止追加结构，不自动加入通路、知识图谱或新预训练。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预期图表与可写主张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图A1：原模型、平均Δ与改进模型的未见细胞结果。图A2：去除配对损失、改变容量与随机种子的消融。图A3：表达背景距离与误差的关系，作为描述性分析。图A4：固定逆转流程的最终排名对照及置信区间。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可写主张示例：在指定 LINCS 条件与严格未见细胞协议下，匹配背景差异监督改善了细胞依赖扰动预测。不可写：已学习通用疾病逆转机制、已验证 TNBC 疗效、注意力或通路权重揭示因果机制。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创新性核验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用最多两天定向比较 XPert、TranSiGen、CPA、TxPert 及相近配对或对比监督方法：比较匹配单位、监督目标、泛化对象和损失形式。仅损失重命名或通用微调不构成贡献；若与已有方法实质相同，优先转为必要对照或终止候选，不重新扩大文献海选。</w:t>
      </w:r>
    </w:p>
    <w:p>
      <w:pPr>
        <w:sectPr>
          <w:footerReference w:type="default" r:id="rId12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六  路线 B 的研究问题与模型设计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患者药物交互的低样本迁移预测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研究目标与继承范围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研究问题：在少量 PDO 监督下，细胞系中的表达—药物交互能否改善未见患者预测，且怎样减少无效迁移？继承 PharmaFormer 的直接药敏任务，复用 EXP-012 的数据与接口；不依赖其论文指标、未提供权重或不透明处理过程。[5]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先建立可控的交互基线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输入为治疗前表达与固定药物表示，输出为该队列尺度的敏感性预测。采用小型表达编码器、固定药物指纹或可核对的已有嵌入和低秩双线性交互。起始表达特征可固定为训练侧512个高变基因；药物用现成指纹，交互秩只比较8与16。第一轮不引入大型预训练、通路或多组学。</w:t>
      </w:r>
    </w:p>
    <w:p>
      <w:pPr>
        <w:spacing w:after="140" w:before="60" w:line="320" w:lineRule="exac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ŷs,d = bd + u(xs)ᵀ v(zd)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bd 表示训练侧药物总体效应，u与v构成样本—药物交互。与表达加药物one-hot的纯加性Ridge不同，该结构允许不同药对同一样本的表达具有不同反应。逐药Ridge仍是必要强对照，不能仅超过一个弱神经网络就宣称有效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候选方法为受约束的来源校正</w:t>
      </w:r>
    </w:p>
    <w:p>
      <w:pPr>
        <w:spacing w:after="140" w:before="60" w:line="320" w:lineRule="exact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目标交互 wd,T = wd,S + δd   目标函数包含 τd ‖δd‖²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源模型在细胞系训练后，目标模型可偏离来源权重。τ越大越倾向来源；τ=0包含不依赖来源的目标域解。最小实现先采用全局τ并与标准微调比较。只有有增益线索后，才研究药物或机制组共享的层级τ，避免小样本下逐患者自由门控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权重收缩、低秩交互和领域适应均是成熟思想。[9,10] 候选贡献是利用训练侧迁移可靠性约束收缩强度，并在患者特异预测与小样本预算中证明优于固定收缩、全量迁移和目标单独训练。无该证据时，只能称为基线系统。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防止重做 EXP-012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先与 v4至v7_linear 对照编码器、残差是否按药物变化、标签变换和训练目标。已有全局线性残差或冻结先验的结果不能改名作为创新。若历史实现已包含同等药物条件交互和收缩机制，则复用旧结果，不重新训练。</w:t>
      </w:r>
    </w:p>
    <w:p>
      <w:pPr>
        <w:sectPr>
          <w:footerReference w:type="default" r:id="rId13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七  路线 B 的数据与训练步骤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来源训练与目标校正分别对齐标签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3600"/>
        <w:gridCol w:w="3400"/>
      </w:tblGrid>
      <w:tr>
        <w:trPr>
          <w:cantSplit/>
          <w:tblHeader/>
        </w:trPr>
        <w:tc>
          <w:tcPr>
            <w:tcW w:type="dxa" w:w="22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资产</w:t>
            </w:r>
          </w:p>
        </w:tc>
        <w:tc>
          <w:tcPr>
            <w:tcW w:type="dxa" w:w="36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本地清单</w:t>
            </w:r>
          </w:p>
        </w:tc>
        <w:tc>
          <w:tcPr>
            <w:tcW w:type="dxa" w:w="34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固定角色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GDSC2</w:t>
            </w:r>
          </w:p>
        </w:tc>
        <w:tc>
          <w:tcPr>
            <w:tcW w:type="dxa" w:w="3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963细胞系 229药 192845响应行</w:t>
            </w:r>
          </w:p>
        </w:tc>
        <w:tc>
          <w:tcPr>
            <w:tcW w:type="dxa" w:w="34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来源训练与细胞留出开发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mCRC PDO</w:t>
            </w:r>
          </w:p>
        </w:tc>
        <w:tc>
          <w:tcPr>
            <w:tcW w:type="dxa" w:w="3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52患者 91样本 49药 3268响应行</w:t>
            </w:r>
          </w:p>
        </w:tc>
        <w:tc>
          <w:tcPr>
            <w:tcW w:type="dxa" w:w="34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主要PDO开发与患者留出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Zhu PDO</w:t>
            </w:r>
          </w:p>
        </w:tc>
        <w:tc>
          <w:tcPr>
            <w:tcW w:type="dxa" w:w="3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20患者 20样本 64药 1280响应行</w:t>
            </w:r>
          </w:p>
        </w:tc>
        <w:tc>
          <w:tcPr>
            <w:tcW w:type="dxa" w:w="34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第二队列独立拟合与协议复核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PRISM</w:t>
            </w:r>
          </w:p>
        </w:tc>
        <w:tc>
          <w:tcPr>
            <w:tcW w:type="dxa" w:w="3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已存在本地索引</w:t>
            </w:r>
          </w:p>
        </w:tc>
        <w:tc>
          <w:tcPr>
            <w:tcW w:type="dxa" w:w="34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可选外部检查；不作为第二来源同时扩训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数量来自现有 manifest，不是本次重新计算。正式使用前验证哈希、患者映射及候选药结构身份。药物名一致不能替代结构核对；盐型和复方的处理需有明确记录。所有模型使用同一可信共同药物面板。[L4]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表达与标签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保留来源的表达单位与缺失掩码，不静默补全基因。Zhu 当前 manifest 写有对数处理，但旧诊断曾记录未取对数；正式运行必须确认本次索引哈希与变换版本，不能再次取对数。其原始单位仍未完全明确，不能假定与TPM或CPM等价。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基因筛选、填补、缩放只拟合训练样本。迁移模型比较权重时，输入特征必须在共同参考坐标中：先以来源训练集确定基因与缩放，再对来源辅助和目标单独模型使用同一坐标；另报告目标侧独立预处理的强基线，以免人为削弱对照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响应先按来源定义统一为高值更敏感；源域与目标域各自使用训练侧逐药标准化，并在本域还原需要的绝对尺度。该处理只是尺度协调，不能把不同实验终点变成同一生物量。主分析保留队列内原始标签排序，不使用患者内标签rank作为训练目标，以免抹去整体敏感性且改变问题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训练顺序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第一步跑药物中位数、逐药Ridge及目标域交互基线。第二步在GDSC2训练来源交互。第三步比较无迁移、冻结来源、常规微调与固定收缩。第四步仅在前三步有可复核信号时引入层级收缩。每步保留预测与参数，禁止按测试结果挑药物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源数据量可先做有记录的开发子集，但正式比较必须使用同一冻结来源版本；训练量学习曲线以独立细胞或患者数为横轴，不能用药物对数冒充独立样本数。</w:t>
      </w:r>
    </w:p>
    <w:p>
      <w:pPr>
        <w:sectPr>
          <w:footerReference w:type="default" r:id="rId14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八  路线 B 的评测与候选创新验收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检验来源是否增加患者信息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划分与指标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复用患者身份映射，建议新实验固定患者分组外层四折，使Zhu每折约5名测试患者；同患者全部PDO样本同折，内层仅在训练患者中验证。与旧五折结果不可直接比较，所有对照按新四折重跑。所有学习到的门控和特征处理不得访问测试标签。mCRC主要开发，Zhu使用冻结模型规则独立拟合；两者均有历史使用，称复用队列验证而非全新盲测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主要指标为同药跨患者的Spearman，再在药物内计算、队列内宏平均；至少5个有效患者且观测与预测方差非零。为减少折间校准产生的伪相关，以折内结果汇总为主；Zhu每折仅约5人，区间可能较宽。合并OOF预测仅作描述性辅助，不单独用于验收；若实际缺失使某药不足门槛，标记NA并报告支持数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应用指标为患者内药物Spearman，以及固定K的Top-K重合或NDCG。K按共同面板规模在运行前固定。每队列分别报告相对药物中位数、逐药Ridge和目标单独训练的差值。B0在某折同药上可能为常数，其相关记NA，不强制填零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对照与消融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900"/>
        <w:gridCol w:w="5300"/>
      </w:tblGrid>
      <w:tr>
        <w:trPr>
          <w:cantSplit/>
          <w:tblHeader/>
        </w:trPr>
        <w:tc>
          <w:tcPr>
            <w:tcW w:type="dxa" w:w="39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比较</w:t>
            </w:r>
          </w:p>
        </w:tc>
        <w:tc>
          <w:tcPr>
            <w:tcW w:type="dxa" w:w="53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排除的替代解释</w:t>
            </w:r>
          </w:p>
        </w:tc>
      </w:tr>
      <w:tr>
        <w:trPr>
          <w:cantSplit/>
          <w:tblHeader w:val="false"/>
        </w:trPr>
        <w:tc>
          <w:tcPr>
            <w:tcW w:type="dxa" w:w="39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目标域单独训练 对 来源辅助</w:t>
            </w:r>
          </w:p>
        </w:tc>
        <w:tc>
          <w:tcPr>
            <w:tcW w:type="dxa" w:w="53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避免把PDO监督的收益当成迁移收益</w:t>
            </w:r>
          </w:p>
        </w:tc>
      </w:tr>
      <w:tr>
        <w:trPr>
          <w:cantSplit/>
          <w:tblHeader w:val="false"/>
        </w:trPr>
        <w:tc>
          <w:tcPr>
            <w:tcW w:type="dxa" w:w="39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固定收缩 对 层级收缩</w:t>
            </w:r>
          </w:p>
        </w:tc>
        <w:tc>
          <w:tcPr>
            <w:tcW w:type="dxa" w:w="53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检验是否需要学习不同迁移强度</w:t>
            </w:r>
          </w:p>
        </w:tc>
      </w:tr>
      <w:tr>
        <w:trPr>
          <w:cantSplit/>
          <w:tblHeader w:val="false"/>
        </w:trPr>
        <w:tc>
          <w:tcPr>
            <w:tcW w:type="dxa" w:w="39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逐药Ridge 对 低秩交互</w:t>
            </w:r>
          </w:p>
        </w:tc>
        <w:tc>
          <w:tcPr>
            <w:tcW w:type="dxa" w:w="53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判断共享结构是否优于成熟简单方法</w:t>
            </w:r>
          </w:p>
        </w:tc>
      </w:tr>
      <w:tr>
        <w:trPr>
          <w:cantSplit/>
          <w:tblHeader w:val="false"/>
        </w:trPr>
        <w:tc>
          <w:tcPr>
            <w:tcW w:type="dxa" w:w="39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真实配对 对 表达配对置换</w:t>
            </w:r>
          </w:p>
        </w:tc>
        <w:tc>
          <w:tcPr>
            <w:tcW w:type="dxa" w:w="53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检验正确表达信息是否必要</w:t>
            </w:r>
          </w:p>
        </w:tc>
      </w:tr>
      <w:tr>
        <w:trPr>
          <w:cantSplit/>
          <w:tblHeader w:val="false"/>
        </w:trPr>
        <w:tc>
          <w:tcPr>
            <w:tcW w:type="dxa" w:w="39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相同预算与参数量对照</w:t>
            </w:r>
          </w:p>
        </w:tc>
        <w:tc>
          <w:tcPr>
            <w:tcW w:type="dxa" w:w="53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避免把更多调参和容量当成方法收益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表达置换以患者为单位，整组响应结构保留；不同患者PDO数不等时需预先定义可交换单位，不能逐行乱序制造伪样本。置换用于检验关联而非因果机制；完整流程需重拟合。若成本过高，先做开发检查，正式次数在合同中冻结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通过与停止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以相对最强目标基线的患者聚类bootstrap差值区间、方向一致性和实际排序收益综合验收。区间跨零记证据不足，不称没有生物规律。若只能超过冻结来源，不能称迁移成功；若层级收缩不超过全局收缩，不宣称其创新有效。三个月核心实验不增加第三个PDO训练队列。</w:t>
      </w:r>
    </w:p>
    <w:p>
      <w:pPr>
        <w:sectPr>
          <w:footerReference w:type="default" r:id="rId15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九  数据可靠性与可解释性如何落地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必要检查嵌入实验  不建立另一项大型工程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数据上限的实际含义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没有一个通用相关系数代表数据上限。需区分测量重复性、输入所含信息和目标体系可迁移性。重复实验可以评估响应和排名的稳定程度；跨平台一致性是条件兼容性证据，不能直接当作噪声上限。缺乏同条件独立重复时，不报告精确噪声天花板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单次患者×药物观测不能可靠分离真实交互与测量噪声；患者与批次绑定时，也不能仅靠回归模型分离二者。必要核查只覆盖本次样本身份、重复、对照、标签方向、缺失和条件一致性，工时上限建议为3至5个工作日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减少生物学误处理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基线表达、疾病差异表达和药物扰动是不同输入。模型预测978个实测基因时，不将其他推断基因当独立真值。差异基因交集少并不自动无意义，但需报告覆盖与方向稳定性；不依据测试药效选择fold-change阈值或上下调基因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所有同队列排序保留原标签定义。不得跨队列混合原始DSS、AUC、IC50后算一个总体相关。跨队列等权指标可作为有明确含义的二级汇总，但正文必须同时给每队列结果。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解释需要分层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00"/>
        <w:gridCol w:w="3600"/>
        <w:gridCol w:w="3200"/>
      </w:tblGrid>
      <w:tr>
        <w:trPr>
          <w:cantSplit/>
          <w:tblHeader/>
        </w:trPr>
        <w:tc>
          <w:tcPr>
            <w:tcW w:type="dxa" w:w="24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解释层次</w:t>
            </w:r>
          </w:p>
        </w:tc>
        <w:tc>
          <w:tcPr>
            <w:tcW w:type="dxa" w:w="36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可交付内容</w:t>
            </w:r>
          </w:p>
        </w:tc>
        <w:tc>
          <w:tcPr>
            <w:tcW w:type="dxa" w:w="32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证据边界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模型使用了什么</w:t>
            </w:r>
          </w:p>
        </w:tc>
        <w:tc>
          <w:tcPr>
            <w:tcW w:type="dxa" w:w="3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特征置换和消融后的性能变化</w:t>
            </w:r>
          </w:p>
        </w:tc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模型依赖，不等于因果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解释是否稳定</w:t>
            </w:r>
          </w:p>
        </w:tc>
        <w:tc>
          <w:tcPr>
            <w:tcW w:type="dxa" w:w="3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不同种子与划分的贡献一致性</w:t>
            </w:r>
          </w:p>
        </w:tc>
        <w:tc>
          <w:tcPr>
            <w:tcW w:type="dxa" w:w="3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稳定关联，不等于药物作用通路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是否具有生物合理性</w:t>
            </w:r>
          </w:p>
        </w:tc>
        <w:tc>
          <w:tcPr>
            <w:tcW w:type="dxa" w:w="3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公开知识与方向一致的案例</w:t>
            </w:r>
          </w:p>
        </w:tc>
        <w:tc>
          <w:tcPr>
            <w:tcW w:type="dxa" w:w="3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机制假设，需要独立功能证据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路线A优先解释药物共同响应和背景差异是否被分开；路线B优先解释交互项和来源依赖程度。通路注释在模型冻结后作为解释层，不要求新增通路网络。若后续把通路作为模型输入，需增加容量匹配的无先验或合理随机先验对照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最小不确定性报告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每个主比较至少报告点估计、有效患者或细胞数、1000次分组bootstrap的95%区间、三个固定种子（20260909、20260910、20260911）的离散程度和失败项。预测bootstrap只反映固定训练结果的采样不确定性，不替代重新训练评估；不将高度相关的药物行视作独立重复。</w:t>
      </w:r>
    </w:p>
    <w:p>
      <w:pPr>
        <w:sectPr>
          <w:footerReference w:type="default" r:id="rId16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十  路线选择与十二周进度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单人执行  一次选择  每周都有可审阅产物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默认将路线A列为优先，因为模型资产与专业积累更充分。该选择以扰动泛化作为核心成果、药物排名作为另行验证的下游。若验收必须直接改善公开PDO排名，则选路线B。无论选哪条，现有条件都不足以承诺完成TNBC PDO临床相关验证。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00"/>
        <w:gridCol w:w="2600"/>
        <w:gridCol w:w="2600"/>
        <w:gridCol w:w="2700"/>
      </w:tblGrid>
      <w:tr>
        <w:trPr>
          <w:cantSplit/>
          <w:tblHeader/>
        </w:trPr>
        <w:tc>
          <w:tcPr>
            <w:tcW w:type="dxa" w:w="13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时间</w:t>
            </w:r>
          </w:p>
        </w:tc>
        <w:tc>
          <w:tcPr>
            <w:tcW w:type="dxa" w:w="26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路线A主攻时</w:t>
            </w:r>
          </w:p>
        </w:tc>
        <w:tc>
          <w:tcPr>
            <w:tcW w:type="dxa" w:w="26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路线B主攻时</w:t>
            </w:r>
          </w:p>
        </w:tc>
        <w:tc>
          <w:tcPr>
            <w:tcW w:type="dxa" w:w="27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共同交付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第1周</w:t>
            </w:r>
          </w:p>
        </w:tc>
        <w:tc>
          <w:tcPr>
            <w:tcW w:type="dxa" w:w="2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查主干与配对覆盖</w:t>
            </w:r>
          </w:p>
        </w:tc>
        <w:tc>
          <w:tcPr>
            <w:tcW w:type="dxa" w:w="2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查共同药物与标签版本</w:t>
            </w:r>
          </w:p>
        </w:tc>
        <w:tc>
          <w:tcPr>
            <w:tcW w:type="dxa" w:w="27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一页合同  关键资产表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第2周</w:t>
            </w:r>
          </w:p>
        </w:tc>
        <w:tc>
          <w:tcPr>
            <w:tcW w:type="dxa" w:w="2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原模型与差异误差</w:t>
            </w:r>
          </w:p>
        </w:tc>
        <w:tc>
          <w:tcPr>
            <w:tcW w:type="dxa" w:w="2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目标基线与来源基线</w:t>
            </w:r>
          </w:p>
        </w:tc>
        <w:tc>
          <w:tcPr>
            <w:tcW w:type="dxa" w:w="27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正式可行性表  决定主线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第3至4周</w:t>
            </w:r>
          </w:p>
        </w:tc>
        <w:tc>
          <w:tcPr>
            <w:tcW w:type="dxa" w:w="2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实现配对监督适配器</w:t>
            </w:r>
          </w:p>
        </w:tc>
        <w:tc>
          <w:tcPr>
            <w:tcW w:type="dxa" w:w="2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实现固定来源收缩</w:t>
            </w:r>
          </w:p>
        </w:tc>
        <w:tc>
          <w:tcPr>
            <w:tcW w:type="dxa" w:w="27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同预算最小比较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第5至6周</w:t>
            </w:r>
          </w:p>
        </w:tc>
        <w:tc>
          <w:tcPr>
            <w:tcW w:type="dxa" w:w="2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多种子与损失消融</w:t>
            </w:r>
          </w:p>
        </w:tc>
        <w:tc>
          <w:tcPr>
            <w:tcW w:type="dxa" w:w="2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有依据时加层级收缩</w:t>
            </w:r>
          </w:p>
        </w:tc>
        <w:tc>
          <w:tcPr>
            <w:tcW w:type="dxa" w:w="27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核心方法增益与失败解释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第7至9周</w:t>
            </w:r>
          </w:p>
        </w:tc>
        <w:tc>
          <w:tcPr>
            <w:tcW w:type="dxa" w:w="2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冻结逆转下游复核</w:t>
            </w:r>
          </w:p>
        </w:tc>
        <w:tc>
          <w:tcPr>
            <w:tcW w:type="dxa" w:w="26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第二PDO与小样本曲线</w:t>
            </w:r>
          </w:p>
        </w:tc>
        <w:tc>
          <w:tcPr>
            <w:tcW w:type="dxa" w:w="27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边界分析和主图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第10至12周</w:t>
            </w:r>
          </w:p>
        </w:tc>
        <w:tc>
          <w:tcPr>
            <w:tcW w:type="dxa" w:w="2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补关键验证与写作</w:t>
            </w:r>
          </w:p>
        </w:tc>
        <w:tc>
          <w:tcPr>
            <w:tcW w:type="dxa" w:w="26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补关键验证与写作</w:t>
            </w:r>
          </w:p>
        </w:tc>
        <w:tc>
          <w:tcPr>
            <w:tcW w:type="dxa" w:w="27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可复跑交付和论文初稿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工作量控制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两条路线不是双倍任务清单。若直接选定一条，另一条只保留书面设计。若暂未选定，前两周合计只允许各一个小型可行性检查，不跑双方全量实验；第2周结束后确定主线。第6周以后不再无条件转向另一整套模型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基线复核最多5个工作日，定向新颖性核查最多2个工作日；初始超参数组合每候选不超过6组，正式比较至少3个固定种子。具体epoch、显存和时长先做短程计时再冻结，不能在没有测量时承诺一两天全量完成。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每周汇报只展示三项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本周回答了哪个问题；相对哪个对照出现什么结果及其不确定性；下周唯一要改变什么。第2周交基线图，第4周交方法初结果，第6周交消融，第9周交边界，第12周交稿。代码接入与数据准备单独标记，不称为实验成功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失败后的有限处置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数据定义错误则修正合同并记录修订；实现错误则修复并复跑受影响部分；科学假设未获支持则停止该模块。只允许一次有机制理由的修订，不根据外部测试分数连续改模型。负结果可形成边界分析，但不保证独立论文价值。</w:t>
      </w:r>
    </w:p>
    <w:p>
      <w:pPr>
        <w:sectPr>
          <w:footerReference w:type="default" r:id="rId17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十一  实施接口与研究治理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给执行者的最小工作合同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先准备  后正式运行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本文件属于研究方案，不修改项目状态和实验注册表，不启动训练或正式评测。选定路线后，先提交数据版本、划分、主指标、失败条件和运行预算，获得批准后使用空闲EXP编号登记。不得默认EXP-013尚可用；主目录与独立工作区状态需先核对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允许的实现范围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通用模型与评价放src，命令入口放scripts，必要测试放tests；产物写入新EXP目录。现有raw与processed文件只读。模型、预测大文件、日志不入Git；紧凑配置、指标与来源信息可纳入版本管理。不同研究轨道使用独立分支或worktree。</w:t>
      </w:r>
    </w:p>
    <w:tbl>
      <w:tblPr>
        <w:tblW w:type="dxa" w:w="92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7000"/>
      </w:tblGrid>
      <w:tr>
        <w:trPr>
          <w:cantSplit/>
          <w:tblHeader/>
        </w:trPr>
        <w:tc>
          <w:tcPr>
            <w:tcW w:type="dxa" w:w="22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接口</w:t>
            </w:r>
          </w:p>
        </w:tc>
        <w:tc>
          <w:tcPr>
            <w:tcW w:type="dxa" w:w="7000"/>
            <w:shd w:fill="DCE6E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9"/>
                <w:szCs w:val="19"/>
              </w:rPr>
              <w:t xml:space="preserve">最低输出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prepare</w:t>
            </w:r>
          </w:p>
        </w:tc>
        <w:tc>
          <w:tcPr>
            <w:tcW w:type="dxa" w:w="7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样本与药物身份  哈希  分组划分  特征与标签合同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train</w:t>
            </w:r>
          </w:p>
        </w:tc>
        <w:tc>
          <w:tcPr>
            <w:tcW w:type="dxa" w:w="70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模型配置  种子  预算  训练验证曲线  选模规则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predict</w:t>
            </w:r>
          </w:p>
        </w:tc>
        <w:tc>
          <w:tcPr>
            <w:tcW w:type="dxa" w:w="7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样本ID  患者或细胞ID  药物ID  折ID  真值与预测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evaluate</w:t>
            </w:r>
          </w:p>
        </w:tc>
        <w:tc>
          <w:tcPr>
            <w:tcW w:type="dxa" w:w="7000"/>
            <w:shd w:fill="F5F7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主辅指标  支持数  配对差值  不确定性  失败项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一条复跑命令  关键图表  允许与不允许的结论</w:t>
            </w:r>
          </w:p>
        </w:tc>
      </w:tr>
    </w:tbl>
    <w:p>
      <w:pPr>
        <w:spacing w:after="60" w:line="8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执行环境与检查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所有Python、测试、数据处理和训练限定WSL2 Conda drugscreening-gpu。开始正式工作运行make env-check与make data-check；训练需要GPU时再做gpu-check。失败先修复原因，不绕过环境要求，不静默安装依赖。工程变更先跑相关测试；共享数据或注册表变更再跑完整测试与数据校验。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必须覆盖的行为测试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同患者或细胞的重复不会跨折；训练预处理不读取测试统计；表达、药物、预测行能按ID往返对齐；常数相关输出NA并附原因；给定种子可复现划分；路线A只构造训练侧合法条件配对；路线B目标域数据不会反向进入来源预训练或外层选模。</w:t>
      </w:r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合作与责任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本阶段可由单人配合agent实现，研究者负责问题、指标与结论验收。无需为使用多agent而拆任务；若后续采用项目规定的Sol Manager与Terra Executor，实际模型、授权与产物需如实记录。不能由AGENTS规则推定当前主任务已切换模型。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研发决策以核心终点为准：希望优先继承扰动模型积累时选路线A；明确要求直接药敏增益时选路线B。公开数据研究可以形成计算方法证据；TNBC PDO最终适用性必须留待对应数据验证。</w:t>
      </w:r>
    </w:p>
    <w:p>
      <w:pPr>
        <w:sectPr>
          <w:footerReference w:type="default" r:id="rId18"/>
          <w:pgSz w:w="11906" w:h="16838" w:orient="portrait"/>
          <w:pgMar w:top="1000" w:right="1353" w:bottom="1000" w:left="1353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Microsoft YaHei" w:cs="Microsoft YaHei" w:eastAsia="Microsoft YaHei" w:hAnsi="Microsoft YaHei"/>
          <w:b/>
          <w:bCs/>
          <w:color w:val="000000"/>
          <w:sz w:val="29"/>
          <w:szCs w:val="29"/>
        </w:rPr>
        <w:t xml:space="preserve">十二  参考依据与结果追溯</w:t>
      </w:r>
    </w:p>
    <w:p>
      <w:pPr>
        <w:spacing w:after="230" w:line="26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文献事实  本地证据  方案假设分别使用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文献用于支持任务定义与相近方法；本文提出的损失、迁移规则和排期均为待批准设计，不是文献已有结论或本次完成实验。链接核对日期为2026年9月9日。</w:t>
      </w:r>
    </w:p>
    <w:p>
      <w:pPr>
        <w:spacing w:after="75" w:line="260" w:lineRule="exact"/>
      </w:pPr>
      <w:hyperlink w:history="1" r:id="rIdisn0etfexog7q7gjy8i8o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[1] Lamb等 2006  Connectivity Map</w:t>
        </w:r>
      </w:hyperlink>
    </w:p>
    <w:p>
      <w:pPr>
        <w:spacing w:after="75" w:line="260" w:lineRule="exact"/>
      </w:pPr>
      <w:hyperlink w:history="1" r:id="rIdls9znixoepsjligiqhmpp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[2] Subramanian等 2017  L1000平台</w:t>
        </w:r>
      </w:hyperlink>
    </w:p>
    <w:p>
      <w:pPr>
        <w:spacing w:after="75" w:line="260" w:lineRule="exact"/>
      </w:pPr>
      <w:hyperlink w:history="1" r:id="rIdrhzhspjeaxl16jxjxussf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[3] TranSiGen 2024  化学扰动表示学习</w:t>
        </w:r>
      </w:hyperlink>
    </w:p>
    <w:p>
      <w:pPr>
        <w:spacing w:after="75" w:line="260" w:lineRule="exact"/>
      </w:pPr>
      <w:hyperlink w:history="1" r:id="rIdzzzsge5_lftbp_-shqa43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[4] XPert  双分支扰动Transformer</w:t>
        </w:r>
      </w:hyperlink>
    </w:p>
    <w:p>
      <w:pPr>
        <w:spacing w:after="75" w:line="260" w:lineRule="exact"/>
      </w:pPr>
      <w:hyperlink w:history="1" r:id="rId8kkiwidoibz1-cbmt-ku2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[5] PharmaFormer 2025  PDO药敏迁移</w:t>
        </w:r>
      </w:hyperlink>
    </w:p>
    <w:p>
      <w:pPr>
        <w:spacing w:after="75" w:line="260" w:lineRule="exact"/>
      </w:pPr>
      <w:hyperlink w:history="1" r:id="rIdmnffi7z-lbyrfu09gpxab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[6] Szalai等 2019  扰动签名中的死亡与增殖</w:t>
        </w:r>
      </w:hyperlink>
    </w:p>
    <w:p>
      <w:pPr>
        <w:spacing w:after="75" w:line="260" w:lineRule="exact"/>
      </w:pPr>
      <w:hyperlink w:history="1" r:id="rIdthynnbq032pymbgutoetr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[7] DrEval 2026  药敏预测的关键评估</w:t>
        </w:r>
      </w:hyperlink>
    </w:p>
    <w:p>
      <w:pPr>
        <w:spacing w:after="75" w:line="260" w:lineRule="exact"/>
      </w:pPr>
      <w:hyperlink w:history="1" r:id="rId0egf16fyhgj2uqakve5qo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[8] Hafner等 2016  生长速率与药敏度量</w:t>
        </w:r>
      </w:hyperlink>
    </w:p>
    <w:p>
      <w:pPr>
        <w:spacing w:after="75" w:line="260" w:lineRule="exact"/>
      </w:pPr>
      <w:hyperlink w:history="1" r:id="rIdaxktc-aipywk7r-2i2q-_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[9] CODE-AE 2022  背景感知去混杂表示</w:t>
        </w:r>
      </w:hyperlink>
    </w:p>
    <w:p>
      <w:pPr>
        <w:spacing w:after="75" w:line="260" w:lineRule="exact"/>
      </w:pPr>
      <w:hyperlink w:history="1" r:id="rIdlp0coz8v6k7m3bsv1sx5i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[10] Velodrome 2021  药敏领域泛化</w:t>
        </w:r>
      </w:hyperlink>
    </w:p>
    <w:p>
      <w:pPr>
        <w:spacing w:after="75" w:line="260" w:lineRule="exact"/>
      </w:pPr>
      <w:hyperlink w:history="1" r:id="rIdipjgjdziksrsdqjyztvhb">
        <w:r>
          <w:rPr>
            <w:rFonts w:ascii="Microsoft YaHei" w:cs="Microsoft YaHei" w:eastAsia="Microsoft YaHei" w:hAnsi="Microsoft YaHei"/>
            <w:color w:val="244D70"/>
            <w:sz w:val="19"/>
            <w:szCs w:val="19"/>
          </w:rPr>
          <w:t xml:space="preserve">[11] CPA 2023  组合扰动与背景分解</w:t>
        </w:r>
      </w:hyperlink>
    </w:p>
    <w:p>
      <w:pPr>
        <w:pStyle w:val="Heading2"/>
        <w:keepNext/>
        <w:spacing w:after="90" w:before="150"/>
      </w:pPr>
      <w:r>
        <w:rPr>
          <w:rFonts w:ascii="Microsoft YaHei" w:cs="Microsoft YaHei" w:eastAsia="Microsoft YaHei" w:hAnsi="Microsoft YaHei"/>
          <w:b/>
          <w:bCs/>
          <w:color w:val="000000"/>
          <w:sz w:val="23"/>
          <w:szCs w:val="23"/>
        </w:rPr>
        <w:t xml:space="preserve">本地证据索引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[L1] D:/Code/DPR_release/outputs/formal_validation/canonical/formal_validation_report.md；该路径为本机实际定位的旧项目目录。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[L2] D:/Code/DrugScreenLab/experiments/records/EXP-007.md；条件化的ORACLE_NEAR_NULL结论与失败规则。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[L3] D:/Code/DrugScreenLab/data/artifacts/EXP-012/report/ 下 V7_STATUS.json 与 EXP-012_pdo_v7_point_metrics.json；残差诊断定义见独立exp-012工作区 src/drug_screen/evaluation/exp011.py。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[L4] D:/Code/DrugScreenLab/data/processed/exp012/ 下各队列 raw_manifest.json、cohort_index_manifest.json；数值引用清单，正式运行需核验哈希。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[L5] PROJECT_STATE.yaml、experiments/registry.yaml、docs/ENVIRONMENT.md，以及 D:/Code/DrugScreenLab-worktrees/exp-012/experiments/records/EXP-012.md。</w:t>
      </w:r>
    </w:p>
    <w:p>
      <w:pPr>
        <w:spacing w:after="90" w:line="300" w:lineRule="exact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[L6] 用户提供的“药物筛选论文全景分析与研究决策系统.html”和“总结.html”；作为背景与意图来源，不作为其中转述科学结论的独立验证。</w:t>
      </w:r>
    </w:p>
    <w:sectPr>
      <w:footerReference w:type="default" r:id="rId19"/>
      <w:pgSz w:w="11906" w:h="16838" w:orient="portrait"/>
      <w:pgMar w:top="1000" w:right="1353" w:bottom="1000" w:left="13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DrugScreenLab  研究方案  ｜ 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after="90" w:line="30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keepNext/>
    </w:pPr>
    <w:rPr>
      <w:rFonts w:ascii="Microsoft YaHei" w:cs="Microsoft YaHei" w:eastAsia="Microsoft YaHei" w:hAnsi="Microsoft YaHei"/>
      <w:b/>
      <w:bCs/>
      <w:color w:val="000000"/>
      <w:sz w:val="34"/>
      <w:szCs w:val="34"/>
    </w:rPr>
  </w:style>
  <w:style w:type="paragraph" w:styleId="Heading1">
    <w:name w:val="heading 1"/>
    <w:basedOn w:val="Normal"/>
    <w:pPr>
      <w:keepNext/>
    </w:pPr>
    <w:rPr>
      <w:rFonts w:ascii="Microsoft YaHei" w:cs="Microsoft YaHei" w:eastAsia="Microsoft YaHei" w:hAnsi="Microsoft YaHei"/>
      <w:b/>
      <w:bCs/>
      <w:color w:val="000000"/>
      <w:sz w:val="29"/>
      <w:szCs w:val="29"/>
    </w:rPr>
  </w:style>
  <w:style w:type="paragraph" w:styleId="Heading2">
    <w:name w:val="heading 2"/>
    <w:basedOn w:val="Normal"/>
    <w:pPr>
      <w:keepNext/>
    </w:pPr>
    <w:rPr>
      <w:rFonts w:ascii="Microsoft YaHei" w:cs="Microsoft YaHei" w:eastAsia="Microsoft YaHei" w:hAnsi="Microsoft YaHe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isn0etfexog7q7gjy8i8o" Type="http://schemas.openxmlformats.org/officeDocument/2006/relationships/hyperlink" Target="https://pubmed.ncbi.nlm.nih.gov/17008526/" TargetMode="External"/><Relationship Id="rIdls9znixoepsjligiqhmpp" Type="http://schemas.openxmlformats.org/officeDocument/2006/relationships/hyperlink" Target="https://pmc.ncbi.nlm.nih.gov/articles/PMC5990023/" TargetMode="External"/><Relationship Id="rIdrhzhspjeaxl16jxjxussf" Type="http://schemas.openxmlformats.org/officeDocument/2006/relationships/hyperlink" Target="https://www.nature.com/articles/s41467-024-49620-3" TargetMode="External"/><Relationship Id="rIdzzzsge5_lftbp_-shqa43" Type="http://schemas.openxmlformats.org/officeDocument/2006/relationships/hyperlink" Target="https://www.nature.com/articles/s42256-025-01165-w" TargetMode="External"/><Relationship Id="rId8kkiwidoibz1-cbmt-ku2" Type="http://schemas.openxmlformats.org/officeDocument/2006/relationships/hyperlink" Target="https://www.nature.com/articles/s41698-025-01082-6" TargetMode="External"/><Relationship Id="rIdmnffi7z-lbyrfu09gpxab" Type="http://schemas.openxmlformats.org/officeDocument/2006/relationships/hyperlink" Target="https://pubmed.ncbi.nlm.nih.gov/31552418/" TargetMode="External"/><Relationship Id="rIdthynnbq032pymbgutoetr" Type="http://schemas.openxmlformats.org/officeDocument/2006/relationships/hyperlink" Target="https://www.nature.com/articles/s41467-026-72903-w" TargetMode="External"/><Relationship Id="rId0egf16fyhgj2uqakve5qo" Type="http://schemas.openxmlformats.org/officeDocument/2006/relationships/hyperlink" Target="https://pubmed.ncbi.nlm.nih.gov/27135972/" TargetMode="External"/><Relationship Id="rIdaxktc-aipywk7r-2i2q-_" Type="http://schemas.openxmlformats.org/officeDocument/2006/relationships/hyperlink" Target="https://www.nature.com/articles/s42256-022-00541-0" TargetMode="External"/><Relationship Id="rIdlp0coz8v6k7m3bsv1sx5i" Type="http://schemas.openxmlformats.org/officeDocument/2006/relationships/hyperlink" Target="https://www.nature.com/articles/s42256-021-00408-w" TargetMode="External"/><Relationship Id="rIdipjgjdziksrsdqjyztvhb" Type="http://schemas.openxmlformats.org/officeDocument/2006/relationships/hyperlink" Target="https://pubmed.ncbi.nlm.nih.gov/37154091/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药物筛选模型双路线研究方案</dc:title>
  <dc:creator>DrugScreenLab</dc:creator>
  <dc:description>公开数据条件下的扰动预测与直接药敏预测实施方案</dc:description>
  <cp:lastModifiedBy>Un-named</cp:lastModifiedBy>
  <cp:revision>1</cp:revision>
  <dcterms:created xsi:type="dcterms:W3CDTF">2026-09-09T09:23:28.984Z</dcterms:created>
  <dcterms:modified xsi:type="dcterms:W3CDTF">2026-09-09T09:23:28.986Z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