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gridSpan w:val="8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  <w:r>
              <w:t xml:space="preserve">Descriptive Statistics comparing RGSC by SOC2000 and SOC90 codes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8190" w:type="dxa"/>
            <w:gridSpan w:val="7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RGSC Social Class of Father when Respondent Child SOC90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3NM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3M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</w:tr>
      <w:tr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123.00 (7.81%)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391.00 (24.84%)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266.00 (16.90%)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536.00 (34.05%)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204.00 (12.96%)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54.00 (3.43%)</w:t>
            </w:r>
          </w:p>
        </w:tc>
        <w:tc>
          <w:tcPr>
            <w:tcW w:w="1170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1574.00 (100.00%)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RGSC Social Class of Father when Respondent Child SOC2000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1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90.00 (73.17%)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(0.26%)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(0.38%)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92.00 (5.84%)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2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32.00 (26.02%)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352.00 (90.03%)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66.00 (24.81%)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(0.37%)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(2.94%)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458.00 (29.10%)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3NM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11.00 (2.81%)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175.00 (65.79%)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(0.93%)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(2.45%)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196.00 (12.45%)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3M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21.00 (5.37%)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(1.50%)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505.00 (94.22%)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45.00 (22.06%)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2.00 (3.70%)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577.00 (36.66%)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4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1.00 (0.81%)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6.00 (1.53%)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7.00 (2.63%)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19.00 (3.54%)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137.00 (67.16%)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4.00 (7.41%)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174.00 (11.05%)</w:t>
            </w:r>
          </w:p>
        </w:tc>
      </w:tr>
      <w:tr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  5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 (0.00%)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13.00 (4.89%)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5.00 (0.93%)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11.00 (5.39%)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48.00 (88.89%)</w:t>
            </w:r>
          </w:p>
        </w:tc>
        <w:tc>
          <w:tcPr>
            <w:tcW w:w="1170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77.00 (4.89%)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