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Regression Models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Margins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Margins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Model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Margins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O'levels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O-Levels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&gt;5 O-Levels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1.19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of Respondent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of Respondent when Child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-0.35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SOC2000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Intercept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0.71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Number of observations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1574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AIC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1945.13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1936.65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1938.92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BIC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2004.11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1963.46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1987.17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1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*** p&lt;.001, ** p&lt;.01, * p&lt;.05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BCS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BCS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