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Arial Narrow" w:hAnsi="Arial Narrow" w:eastAsia="Arial Narrow" w:cs="Arial Narrow"/>
                <w:b w:val="true"/>
                <w:sz w:val="28"/>
              </w:rPr>
              <w:t xml:space="preserve">Table 2: Imputation Regression Models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62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imp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obinc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2.98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(0.06)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obinc2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sexc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-0.50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(0.06)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sexc2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-0.64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(0.08)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tenurec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-0.63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(0.06)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tenurec2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-0.56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(0.09)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nssecncds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(0.19)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0.48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(0.17)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-0.25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(0.13)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-0.89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(0.12)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-0.76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(0.11)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-0.89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(0.11)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7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-1.11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(0.11)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nssecbcs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0.24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(0.23)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0.38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(0.23)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-0.20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(0.16)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-0.68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(0.16)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-0.70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(0.14)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-0.48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(0.15)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7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-0.88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(0.14)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cohort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0.71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(0.15)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Intercept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-0.40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(0.09)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Number of observations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19672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Arial Narrow" w:hAnsi="Arial Narrow" w:eastAsia="Arial Narrow" w:cs="Arial Narrow"/>
                <w:i w:val="true"/>
                <w:sz w:val="20"/>
              </w:rPr>
              <w:t xml:space="preserve">*** p&lt;.001, ** p&lt;.01, * p&lt;.05</w:t>
              <w:br w:type="textWrapping"/>
            </w:r>
            <w:r>
              <w:rPr>
                <w:rFonts w:ascii="Arial Narrow" w:hAnsi="Arial Narrow" w:eastAsia="Arial Narrow" w:cs="Arial Narrow"/>
                <w:i w:val="true"/>
                <w:sz w:val="20"/>
              </w:rPr>
              <w:t xml:space="preserve">Data Source: NCDS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