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png" ContentType="image/png"/>
  <Override PartName="/word/media/rId46.png" ContentType="image/png"/>
  <Override PartName="/word/media/rId88.png" ContentType="image/png"/>
  <Override PartName="/word/media/rId34.png" ContentType="image/png"/>
  <Override PartName="/word/media/rId75.png" ContentType="image/png"/>
  <Override PartName="/word/media/rId96.png" ContentType="image/png"/>
  <Override PartName="/word/media/rId42.png" ContentType="image/png"/>
  <Override PartName="/word/media/rId116.png" ContentType="image/png"/>
  <Override PartName="/word/media/rId62.png" ContentType="image/png"/>
  <Override PartName="/word/media/rId92.png" ContentType="image/png"/>
  <Override PartName="/word/media/rId38.png" ContentType="image/png"/>
  <Override PartName="/word/media/rId120.png" ContentType="image/png"/>
  <Override PartName="/word/media/rId66.png" ContentType="image/png"/>
  <Override PartName="/word/media/rId112.png" ContentType="image/png"/>
  <Override PartName="/word/media/rId58.png" ContentType="image/png"/>
  <Override PartName="/word/media/rId104.png" ContentType="image/png"/>
  <Override PartName="/word/media/rId50.png" ContentType="image/png"/>
  <Override PartName="/word/media/rId108.png" ContentType="image/png"/>
  <Override PartName="/word/media/rId54.png" ContentType="image/png"/>
  <Override PartName="/word/media/rId124.png" ContentType="image/png"/>
  <Override PartName="/word/media/rId70.png" ContentType="image/png"/>
  <Override PartName="/word/media/rId84.png" ContentType="image/png"/>
  <Override PartName="/word/media/rId30.png" ContentType="image/png"/>
  <Override PartName="/word/media/rId26.png" ContentType="image/png"/>
  <Override PartName="/word/media/rId21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of Trust in AI</w:t>
      </w:r>
    </w:p>
    <w:p>
      <w:pPr>
        <w:pStyle w:val="Subtitle"/>
      </w:pPr>
      <w:r>
        <w:t xml:space="preserve">Summary of Preliminary Results</w:t>
      </w:r>
    </w:p>
    <w:p>
      <w:pPr>
        <w:pStyle w:val="Author"/>
      </w:pPr>
      <w:r>
        <w:t xml:space="preserve">Scott Claessens</w:t>
      </w:r>
    </w:p>
    <w:p>
      <w:pPr>
        <w:pStyle w:val="Date"/>
      </w:pPr>
      <w:r>
        <w:t xml:space="preserve">2025-09-24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summarises the preliminary results of our study on the predictors</w:t>
      </w:r>
      <w:r>
        <w:t xml:space="preserve"> </w:t>
      </w:r>
      <w:r>
        <w:t xml:space="preserve">of trust in artificial intelligence systems.</w:t>
      </w:r>
    </w:p>
    <w:p>
      <w:pPr>
        <w:pStyle w:val="BodyText"/>
      </w:pPr>
      <w:r>
        <w:t xml:space="preserve">We recruited 800 participants from the UK (N = 690 after exclusions for low</w:t>
      </w:r>
      <w:r>
        <w:t xml:space="preserve"> </w:t>
      </w:r>
      <w:r>
        <w:t xml:space="preserve">Captcha scores and failed attention check) from Prolific. In the study,</w:t>
      </w:r>
      <w:r>
        <w:t xml:space="preserve"> </w:t>
      </w:r>
      <w:r>
        <w:t xml:space="preserve">participants answered questions about both</w:t>
      </w:r>
      <w:r>
        <w:t xml:space="preserve"> </w:t>
      </w:r>
      <w:r>
        <w:t xml:space="preserve">“general AI”</w:t>
      </w:r>
      <w:r>
        <w:t xml:space="preserve"> </w:t>
      </w:r>
      <w:r>
        <w:t xml:space="preserve">and a random subset of</w:t>
      </w:r>
      <w:r>
        <w:t xml:space="preserve"> </w:t>
      </w:r>
      <w:r>
        <w:t xml:space="preserve">specific AI systems (5 out of 20). In each case, we asked participants how much</w:t>
      </w:r>
      <w:r>
        <w:t xml:space="preserve"> </w:t>
      </w:r>
      <w:r>
        <w:t xml:space="preserve">they trusted the system and various other questions, including perceived</w:t>
      </w:r>
      <w:r>
        <w:t xml:space="preserve"> </w:t>
      </w:r>
      <w:r>
        <w:t xml:space="preserve">reliability, competence, genuine nature, ethicality, autonomy, potential for</w:t>
      </w:r>
      <w:r>
        <w:t xml:space="preserve"> </w:t>
      </w:r>
      <w:r>
        <w:t xml:space="preserve">good, potential for harm, interpretability, explainability, anthropomorphism,</w:t>
      </w:r>
      <w:r>
        <w:t xml:space="preserve"> </w:t>
      </w:r>
      <w:r>
        <w:t xml:space="preserve">and predictability. We also collected data on whether participants had heard of</w:t>
      </w:r>
      <w:r>
        <w:t xml:space="preserve"> </w:t>
      </w:r>
      <w:r>
        <w:t xml:space="preserve">and used the different AI systems.</w:t>
      </w:r>
    </w:p>
    <w:p>
      <w:pPr>
        <w:pStyle w:val="BodyText"/>
      </w:pPr>
      <w:r>
        <w:t xml:space="preserve">Data and code for the study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https://github.com/ScottClaessens/person-trust-AI</w:t>
        </w:r>
      </w:hyperlink>
    </w:p>
    <w:bookmarkStart w:id="25" w:name="reported-usage-of-different-ai-systems"/>
    <w:p>
      <w:pPr>
        <w:pStyle w:val="Heading2"/>
      </w:pPr>
      <w:r>
        <w:t xml:space="preserve">Reported usage of different AI systems</w:t>
      </w:r>
    </w:p>
    <w:p>
      <w:pPr>
        <w:pStyle w:val="FirstParagraph"/>
      </w:pPr>
      <w:r>
        <w:t xml:space="preserve">We found that some AI systems were more familiar to participants than others.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usag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usag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participants that have heard of and used different AI systems</w:t>
            </w:r>
          </w:p>
          <w:bookmarkEnd w:id="24"/>
        </w:tc>
      </w:tr>
    </w:tbl>
    <w:bookmarkEnd w:id="25"/>
    <w:bookmarkStart w:id="74" w:name="rankings-for-different-ai-systems"/>
    <w:p>
      <w:pPr>
        <w:pStyle w:val="Heading2"/>
      </w:pPr>
      <w:r>
        <w:t xml:space="preserve">Rankings for different AI systems</w:t>
      </w:r>
    </w:p>
    <w:p>
      <w:pPr>
        <w:pStyle w:val="FirstParagraph"/>
      </w:pPr>
      <w:r>
        <w:t xml:space="preserve">We ranked average ratings of trust for</w:t>
      </w:r>
      <w:r>
        <w:t xml:space="preserve"> </w:t>
      </w:r>
      <w:r>
        <w:t xml:space="preserve">“general AI”</w:t>
      </w:r>
      <w:r>
        <w:t xml:space="preserve"> </w:t>
      </w:r>
      <w:r>
        <w:t xml:space="preserve">and the different AI</w:t>
      </w:r>
      <w:r>
        <w:t xml:space="preserve"> </w:t>
      </w:r>
      <w:r>
        <w:t xml:space="preserve">systems. The results show that participants trust some AI systems more than</w:t>
      </w:r>
      <w:r>
        <w:t xml:space="preserve"> </w:t>
      </w:r>
      <w:r>
        <w:t xml:space="preserve">others, with</w:t>
      </w:r>
      <w:r>
        <w:t xml:space="preserve"> </w:t>
      </w:r>
      <w:r>
        <w:t xml:space="preserve">“general AI”</w:t>
      </w:r>
      <w:r>
        <w:t xml:space="preserve"> </w:t>
      </w:r>
      <w:r>
        <w:t xml:space="preserve">sitting somewhere in the middle.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trust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trust-ranking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Self-reported trust in different AI systems</w:t>
            </w:r>
          </w:p>
          <w:bookmarkEnd w:id="29"/>
        </w:tc>
      </w:tr>
    </w:tbl>
    <w:p>
      <w:pPr>
        <w:pStyle w:val="BodyText"/>
      </w:pPr>
      <w:r>
        <w:t xml:space="preserve">Rankings for other variables are below: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reliable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reliable-ranking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Perceived reliability of different AI systems</w:t>
            </w:r>
          </w:p>
          <w:bookmarkEnd w:id="33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competent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competent-ranking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Perceived competence of different AI systems</w:t>
            </w:r>
          </w:p>
          <w:bookmarkEnd w:id="3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genuine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genuine-ranking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Perceived genuine nature of different AI systems</w:t>
            </w:r>
          </w:p>
          <w:bookmarkEnd w:id="4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ethical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ethical-ranking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Perceived ethicality of different AI systems</w:t>
            </w:r>
          </w:p>
          <w:bookmarkEnd w:id="4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autonomy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autonomy-ranking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Perceived autonomy of different AI systems</w:t>
            </w:r>
          </w:p>
          <w:bookmarkEnd w:id="4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potential-good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otential-good-ranking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Perceived</w:t>
            </w:r>
            <w:r>
              <w:t xml:space="preserve"> </w:t>
            </w:r>
            <w:r>
              <w:t xml:space="preserve">‘potential good’</w:t>
            </w:r>
            <w:r>
              <w:t xml:space="preserve"> </w:t>
            </w:r>
            <w:r>
              <w:t xml:space="preserve">of different AI systems</w:t>
            </w:r>
          </w:p>
          <w:bookmarkEnd w:id="53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potential-harm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otential-harm-ranking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Perceived</w:t>
            </w:r>
            <w:r>
              <w:t xml:space="preserve"> </w:t>
            </w:r>
            <w:r>
              <w:t xml:space="preserve">‘potential harm’</w:t>
            </w:r>
            <w:r>
              <w:t xml:space="preserve"> </w:t>
            </w:r>
            <w:r>
              <w:t xml:space="preserve">of different AI systems</w:t>
            </w:r>
          </w:p>
          <w:bookmarkEnd w:id="5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interpretability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interpretability-ranking-1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Perceived interpretability of different AI systems</w:t>
            </w:r>
          </w:p>
          <w:bookmarkEnd w:id="6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explainability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explainability-ranking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Perceived explainability of different AI systems</w:t>
            </w:r>
          </w:p>
          <w:bookmarkEnd w:id="6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humanlike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humanlike-ranking-1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Perceived anthropomorphism of different AI systems</w:t>
            </w:r>
          </w:p>
          <w:bookmarkEnd w:id="6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predictability-ranking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redictability-ranking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13: Perceived predictability of different AI systems</w:t>
            </w:r>
          </w:p>
          <w:bookmarkEnd w:id="73"/>
        </w:tc>
      </w:tr>
    </w:tbl>
    <w:bookmarkEnd w:id="74"/>
    <w:bookmarkStart w:id="79" w:name="predictors-of-trust-in-general-ai"/>
    <w:p>
      <w:pPr>
        <w:pStyle w:val="Heading2"/>
      </w:pPr>
      <w:r>
        <w:t xml:space="preserve">Predictors of trust in general AI</w:t>
      </w:r>
    </w:p>
    <w:p>
      <w:pPr>
        <w:pStyle w:val="FirstParagraph"/>
      </w:pPr>
      <w:r>
        <w:t xml:space="preserve">For general AI, we looked at the correlation matrix for self-reported trust and</w:t>
      </w:r>
      <w:r>
        <w:t xml:space="preserve"> </w:t>
      </w:r>
      <w:r>
        <w:t xml:space="preserve">all other questions.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cor-general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cor-general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14: Correlation matrix for</w:t>
            </w:r>
            <w:r>
              <w:t xml:space="preserve"> </w:t>
            </w:r>
            <w:r>
              <w:t xml:space="preserve">‘General AI’</w:t>
            </w:r>
          </w:p>
          <w:bookmarkEnd w:id="78"/>
        </w:tc>
      </w:tr>
    </w:tbl>
    <w:p>
      <w:pPr>
        <w:pStyle w:val="BodyText"/>
      </w:pPr>
      <w:r>
        <w:t xml:space="preserve">We found that perceived reliability, competence, genuine nature, and ethicality</w:t>
      </w:r>
      <w:r>
        <w:t xml:space="preserve"> </w:t>
      </w:r>
      <w:r>
        <w:t xml:space="preserve">have the strongest positive correlations with trust. This makes sense, since</w:t>
      </w:r>
      <w:r>
        <w:t xml:space="preserve"> </w:t>
      </w:r>
      <w:r>
        <w:t xml:space="preserve">previous work has suggested that trust in AI is a multidimensional concept that</w:t>
      </w:r>
      <w:r>
        <w:t xml:space="preserve"> </w:t>
      </w:r>
      <w:r>
        <w:t xml:space="preserve">is made up of both performance trust (reliability and competence) and moral</w:t>
      </w:r>
      <w:r>
        <w:t xml:space="preserve"> </w:t>
      </w:r>
      <w:r>
        <w:t xml:space="preserve">trust (genuine nature and ethicality; Malle &amp; Ullman, 2021). Trust is also</w:t>
      </w:r>
      <w:r>
        <w:t xml:space="preserve"> </w:t>
      </w:r>
      <w:r>
        <w:t xml:space="preserve">strongly positively correlated with the belief that AI has the potential for</w:t>
      </w:r>
      <w:r>
        <w:t xml:space="preserve"> </w:t>
      </w:r>
      <w:r>
        <w:t xml:space="preserve">good.</w:t>
      </w:r>
    </w:p>
    <w:p>
      <w:pPr>
        <w:pStyle w:val="BodyText"/>
      </w:pPr>
      <w:r>
        <w:t xml:space="preserve">Other variables are also correlated with trust, but to a lesser degree.</w:t>
      </w:r>
    </w:p>
    <w:bookmarkEnd w:id="79"/>
    <w:bookmarkStart w:id="128" w:name="Xebdb35cc62b5702fd54090bffd84dcea9ecdafc"/>
    <w:p>
      <w:pPr>
        <w:pStyle w:val="Heading2"/>
      </w:pPr>
      <w:r>
        <w:t xml:space="preserve">Predictors of trust in different AI systems</w:t>
      </w:r>
    </w:p>
    <w:p>
      <w:pPr>
        <w:pStyle w:val="FirstParagraph"/>
      </w:pPr>
      <w:r>
        <w:t xml:space="preserve">To assess how this pattern varies across different AI systems, we fitted a</w:t>
      </w:r>
      <w:r>
        <w:t xml:space="preserve"> </w:t>
      </w:r>
      <w:r>
        <w:t xml:space="preserve">series of multilevel models that allowed the effects of predictors to vary</w:t>
      </w:r>
      <w:r>
        <w:t xml:space="preserve"> </w:t>
      </w:r>
      <w:r>
        <w:t xml:space="preserve">across AI systems. The variance parameter for the varying slopes allows us to</w:t>
      </w:r>
      <w:r>
        <w:t xml:space="preserve"> </w:t>
      </w:r>
      <w:r>
        <w:t xml:space="preserve">determine how much the effect of each predictor on trust</w:t>
      </w:r>
      <w:r>
        <w:t xml:space="preserve"> </w:t>
      </w:r>
      <w:r>
        <w:rPr>
          <w:i/>
          <w:iCs/>
        </w:rPr>
        <w:t xml:space="preserve">varies</w:t>
      </w:r>
      <w:r>
        <w:t xml:space="preserve"> </w:t>
      </w:r>
      <w:r>
        <w:t xml:space="preserve">across</w:t>
      </w:r>
      <w:r>
        <w:t xml:space="preserve"> </w:t>
      </w:r>
      <w:r>
        <w:t xml:space="preserve">different AI systems.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varying-slope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varying-slopes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15: Variance in slopes across different AI systems</w:t>
            </w:r>
          </w:p>
          <w:bookmarkEnd w:id="83"/>
        </w:tc>
      </w:tr>
    </w:tbl>
    <w:p>
      <w:pPr>
        <w:pStyle w:val="BodyText"/>
      </w:pPr>
      <w:r>
        <w:t xml:space="preserve">This plot suggests that, for example, the effect of interpretability on trust</w:t>
      </w:r>
      <w:r>
        <w:t xml:space="preserve"> </w:t>
      </w:r>
      <w:r>
        <w:t xml:space="preserve">does not vary much across different AI systems. On the other hand, the effect of</w:t>
      </w:r>
      <w:r>
        <w:t xml:space="preserve"> </w:t>
      </w:r>
      <w:r>
        <w:t xml:space="preserve">competence on trust varies much more across different AI systems. These effects</w:t>
      </w:r>
      <w:r>
        <w:t xml:space="preserve"> </w:t>
      </w:r>
      <w:r>
        <w:t xml:space="preserve">are shown in the plots below.</w:t>
      </w:r>
    </w:p>
    <w:p>
      <w:pPr>
        <w:pStyle w:val="BodyText"/>
      </w:pPr>
      <w:r>
        <w:t xml:space="preserve">Plots for all other predictors of trust are displayed below: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reliab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reliable-1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16: Effect of reliability on trust across different AI systems</w:t>
            </w:r>
          </w:p>
          <w:bookmarkEnd w:id="8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1" w:name="fig-competenc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competence-1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17: Effect of competence on trust across different AI systems</w:t>
            </w:r>
          </w:p>
          <w:bookmarkEnd w:id="9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5" w:name="fig-genuin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genuine-1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18: Effect of</w:t>
            </w:r>
            <w:r>
              <w:t xml:space="preserve"> </w:t>
            </w:r>
            <w:r>
              <w:t xml:space="preserve">‘genuine’</w:t>
            </w:r>
            <w:r>
              <w:t xml:space="preserve"> </w:t>
            </w:r>
            <w:r>
              <w:t xml:space="preserve">on trust across different AI systems</w:t>
            </w:r>
          </w:p>
          <w:bookmarkEnd w:id="9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9" w:name="fig-ethical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ethical-1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19: Effect of ethicality on trust across different AI systems</w:t>
            </w:r>
          </w:p>
          <w:bookmarkEnd w:id="9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3" w:name="fig-autonom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autonomy-1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20: Effect of autonomy on trust across different AI systems</w:t>
            </w:r>
          </w:p>
          <w:bookmarkEnd w:id="103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7" w:name="fig-potential-good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otential-good-1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21: Effect of potential good on trust across different AI systems</w:t>
            </w:r>
          </w:p>
          <w:bookmarkEnd w:id="10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1" w:name="fig-potential-harm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09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otential-harm-1.png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22: Effect of potential harm on trust across different AI systems</w:t>
            </w:r>
          </w:p>
          <w:bookmarkEnd w:id="11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5" w:name="fig-interpretabilit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interpretability-1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23: Effect of interpretability on trust across different AI systems</w:t>
            </w:r>
          </w:p>
          <w:bookmarkEnd w:id="11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9" w:name="fig-explainabilit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explainability-1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24: Effect of explainability on trust across different AI systems</w:t>
            </w:r>
          </w:p>
          <w:bookmarkEnd w:id="11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3" w:name="fig-humanlik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21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humanlike-1.png" id="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25: Effect of anthropomorphism on trust across different AI systems</w:t>
            </w:r>
          </w:p>
          <w:bookmarkEnd w:id="123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7" w:name="fig-predictabilit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summary_files/figure-docx/fig-predictability-1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26: Effect of predictability on trust across different AI systems</w:t>
            </w:r>
          </w:p>
          <w:bookmarkEnd w:id="127"/>
        </w:tc>
      </w:tr>
    </w:tbl>
    <w:bookmarkEnd w:id="128"/>
    <w:bookmarkStart w:id="129" w:name="future-directions"/>
    <w:p>
      <w:pPr>
        <w:pStyle w:val="Heading2"/>
      </w:pPr>
      <w:r>
        <w:t xml:space="preserve">Future directions</w:t>
      </w:r>
    </w:p>
    <w:p>
      <w:pPr>
        <w:pStyle w:val="FirstParagraph"/>
      </w:pPr>
      <w:r>
        <w:t xml:space="preserve">There is more that we can do with this dataset: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Which types of AI are most prototypical?</w:t>
      </w:r>
      <w:r>
        <w:t xml:space="preserve"> </w:t>
      </w:r>
      <w:r>
        <w:t xml:space="preserve">We pre-registered that we would</w:t>
      </w:r>
      <w:r>
        <w:t xml:space="preserve"> </w:t>
      </w:r>
      <w:r>
        <w:t xml:space="preserve">conduct a principal components analysis on all the variables and map the</w:t>
      </w:r>
      <w:r>
        <w:t xml:space="preserve"> </w:t>
      </w:r>
      <w:r>
        <w:t xml:space="preserve">different AI types in the dimensional space to determine which are closest to</w:t>
      </w:r>
      <w:r>
        <w:t xml:space="preserve"> </w:t>
      </w:r>
      <w:r>
        <w:t xml:space="preserve">“general AI”</w:t>
      </w:r>
      <w:r>
        <w:t xml:space="preserve">. In other words, which types of AI are people probably thinking</w:t>
      </w:r>
      <w:r>
        <w:t xml:space="preserve"> </w:t>
      </w:r>
      <w:r>
        <w:t xml:space="preserve">about when surveys ask them about AI in general? Unfortunately for us,</w:t>
      </w:r>
      <w:r>
        <w:t xml:space="preserve"> </w:t>
      </w:r>
      <w:r>
        <w:t xml:space="preserve">everything is highly correlated in this dataset, meaning that PCA just pulls out</w:t>
      </w:r>
      <w:r>
        <w:t xml:space="preserve"> </w:t>
      </w:r>
      <w:r>
        <w:t xml:space="preserve">a single dimension (which can be conceptualised as how</w:t>
      </w:r>
      <w:r>
        <w:t xml:space="preserve"> </w:t>
      </w:r>
      <w:r>
        <w:t xml:space="preserve">“positive”</w:t>
      </w:r>
      <w:r>
        <w:t xml:space="preserve"> </w:t>
      </w:r>
      <w:r>
        <w:t xml:space="preserve">or</w:t>
      </w:r>
      <w:r>
        <w:t xml:space="preserve"> </w:t>
      </w:r>
      <w:r>
        <w:t xml:space="preserve">“negative”</w:t>
      </w:r>
      <w:r>
        <w:t xml:space="preserve"> </w:t>
      </w:r>
      <w:r>
        <w:t xml:space="preserve">participants feel).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How does trust vary across individuals?</w:t>
      </w:r>
      <w:r>
        <w:t xml:space="preserve"> </w:t>
      </w:r>
      <w:r>
        <w:t xml:space="preserve">We have data on demographics,</w:t>
      </w:r>
      <w:r>
        <w:t xml:space="preserve"> </w:t>
      </w:r>
      <w:r>
        <w:t xml:space="preserve">political ideology, and familiarity with AI, so we could potentially use these</w:t>
      </w:r>
      <w:r>
        <w:t xml:space="preserve"> </w:t>
      </w:r>
      <w:r>
        <w:t xml:space="preserve">as predictors of trust.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 there any interaction effects?</w:t>
      </w:r>
      <w:r>
        <w:t xml:space="preserve"> </w:t>
      </w:r>
      <w:r>
        <w:t xml:space="preserve">We have looked at predictors</w:t>
      </w:r>
      <w:r>
        <w:t xml:space="preserve"> </w:t>
      </w:r>
      <w:r>
        <w:t xml:space="preserve">separately. But the variables likely interact with each other. For example,</w:t>
      </w:r>
      <w:r>
        <w:t xml:space="preserve"> </w:t>
      </w:r>
      <w:r>
        <w:t xml:space="preserve">competence is probably a weaker predictor of trust for autonomous killer drones</w:t>
      </w:r>
      <w:r>
        <w:t xml:space="preserve"> </w:t>
      </w:r>
      <w:r>
        <w:t xml:space="preserve">because participants believe that this AI has the potential for harm – they</w:t>
      </w:r>
      <w:r>
        <w:t xml:space="preserve"> </w:t>
      </w:r>
      <w:r>
        <w:t xml:space="preserve">don’t want it to achieve that harm more competently!</w:t>
      </w:r>
    </w:p>
    <w:p>
      <w:pPr>
        <w:pStyle w:val="FirstParagraph"/>
      </w:pPr>
      <w:r>
        <w:t xml:space="preserve">Beyond these questions, we would like to scale this up across countries. Before</w:t>
      </w:r>
      <w:r>
        <w:t xml:space="preserve"> </w:t>
      </w:r>
      <w:r>
        <w:t xml:space="preserve">doing this, it would be good to get some direction on what is most interesting</w:t>
      </w:r>
      <w:r>
        <w:t xml:space="preserve"> </w:t>
      </w:r>
      <w:r>
        <w:t xml:space="preserve">to focus on going forward.</w:t>
      </w:r>
    </w:p>
    <w:bookmarkEnd w:id="129"/>
    <w:bookmarkStart w:id="13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Malle, B. F., &amp; Ullman, D. (2021). A multidimensional conception and measure of</w:t>
      </w:r>
      <w:r>
        <w:t xml:space="preserve"> </w:t>
      </w:r>
      <w:r>
        <w:t xml:space="preserve">human-robot trust. In</w:t>
      </w:r>
      <w:r>
        <w:t xml:space="preserve"> </w:t>
      </w:r>
      <w:r>
        <w:rPr>
          <w:i/>
          <w:iCs/>
        </w:rPr>
        <w:t xml:space="preserve">Trust in human-robot interaction</w:t>
      </w:r>
      <w:r>
        <w:t xml:space="preserve"> </w:t>
      </w:r>
      <w:r>
        <w:t xml:space="preserve">(pp. 3-25). Academic</w:t>
      </w:r>
      <w:r>
        <w:t xml:space="preserve"> </w:t>
      </w:r>
      <w:r>
        <w:t xml:space="preserve">Press.</w:t>
      </w:r>
    </w:p>
    <w:bookmarkEnd w:id="1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png" /><Relationship Type="http://schemas.openxmlformats.org/officeDocument/2006/relationships/image" Id="rId46" Target="media/rId46.png" /><Relationship Type="http://schemas.openxmlformats.org/officeDocument/2006/relationships/image" Id="rId88" Target="media/rId88.png" /><Relationship Type="http://schemas.openxmlformats.org/officeDocument/2006/relationships/image" Id="rId34" Target="media/rId34.png" /><Relationship Type="http://schemas.openxmlformats.org/officeDocument/2006/relationships/image" Id="rId75" Target="media/rId75.png" /><Relationship Type="http://schemas.openxmlformats.org/officeDocument/2006/relationships/image" Id="rId96" Target="media/rId96.png" /><Relationship Type="http://schemas.openxmlformats.org/officeDocument/2006/relationships/image" Id="rId42" Target="media/rId42.png" /><Relationship Type="http://schemas.openxmlformats.org/officeDocument/2006/relationships/image" Id="rId116" Target="media/rId116.png" /><Relationship Type="http://schemas.openxmlformats.org/officeDocument/2006/relationships/image" Id="rId62" Target="media/rId62.png" /><Relationship Type="http://schemas.openxmlformats.org/officeDocument/2006/relationships/image" Id="rId92" Target="media/rId92.png" /><Relationship Type="http://schemas.openxmlformats.org/officeDocument/2006/relationships/image" Id="rId38" Target="media/rId38.png" /><Relationship Type="http://schemas.openxmlformats.org/officeDocument/2006/relationships/image" Id="rId120" Target="media/rId120.png" /><Relationship Type="http://schemas.openxmlformats.org/officeDocument/2006/relationships/image" Id="rId66" Target="media/rId66.png" /><Relationship Type="http://schemas.openxmlformats.org/officeDocument/2006/relationships/image" Id="rId112" Target="media/rId112.png" /><Relationship Type="http://schemas.openxmlformats.org/officeDocument/2006/relationships/image" Id="rId58" Target="media/rId58.png" /><Relationship Type="http://schemas.openxmlformats.org/officeDocument/2006/relationships/image" Id="rId104" Target="media/rId104.png" /><Relationship Type="http://schemas.openxmlformats.org/officeDocument/2006/relationships/image" Id="rId50" Target="media/rId50.png" /><Relationship Type="http://schemas.openxmlformats.org/officeDocument/2006/relationships/image" Id="rId108" Target="media/rId108.png" /><Relationship Type="http://schemas.openxmlformats.org/officeDocument/2006/relationships/image" Id="rId54" Target="media/rId54.png" /><Relationship Type="http://schemas.openxmlformats.org/officeDocument/2006/relationships/image" Id="rId124" Target="media/rId124.png" /><Relationship Type="http://schemas.openxmlformats.org/officeDocument/2006/relationships/image" Id="rId70" Target="media/rId70.png" /><Relationship Type="http://schemas.openxmlformats.org/officeDocument/2006/relationships/image" Id="rId84" Target="media/rId8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80" Target="media/rId80.png" /><Relationship Type="http://schemas.openxmlformats.org/officeDocument/2006/relationships/hyperlink" Id="rId20" Target="https://github.com/ScottClaessens/person-trust-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cottClaessens/person-trust-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Trust in AI</dc:title>
  <dc:creator>Scott Claessens</dc:creator>
  <cp:keywords/>
  <dcterms:created xsi:type="dcterms:W3CDTF">2025-09-24T11:39:31Z</dcterms:created>
  <dcterms:modified xsi:type="dcterms:W3CDTF">2025-09-24T11:39:31Z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2025-09-24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Summary of Preliminary Results</vt:lpwstr>
  </property>
  <property fmtid="{D5CDD505-2E9C-101B-9397-08002B2CF9AE}" pid="12" name="toc-title">
    <vt:lpwstr>Table of contents</vt:lpwstr>
  </property>
</Properties>
</file>