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Peer-Reviewer Report (focused revision)</w:t>
      </w:r>
    </w:p>
    <w:p>
      <w:pPr>
        <w:pStyle w:val="Normal"/>
      </w:pPr>
      <w:r>
        <w:rPr>
          <w:b/>
        </w:rPr>
        <w:t>Manuscript:</w:t>
      </w:r>
      <w:r>
        <w:t xml:space="preserve"> </w:t>
      </w:r>
      <w:r>
        <w:rPr>
          <w:i/>
        </w:rPr>
        <w:t>No Single Model Family Dominates: Ensembles and Conventional Machine Learning Perform Comparably to Pretrained Molecular Models Across 44 Property-Prediction Benchmarks</w:t>
      </w:r>
      <w:r>
        <w:rPr>
          <w:b/>
        </w:rPr>
        <w:t>Author:</w:t>
      </w:r>
      <w:r>
        <w:t xml:space="preserve"> Scott Coffin, California Office of Environmental Health Hazard Assessment, Sacramento, CA, USA </w:t>
      </w:r>
      <w:hyperlink r:id="rId10">
        <w:r>
          <w:rPr>
            <w:b/>
            <w:color w:val="1F5132"/>
            <w:sz w:val="18"/>
            <w:szCs w:val="18"/>
            <w:position w:val="7"/>
          </w:rPr>
          <w:t>1</w:t>
        </w:r>
      </w:hyperlink>
      <w:r>
        <w:rPr>
          <w:b/>
        </w:rPr>
        <w:t>Target venue:</w:t>
      </w:r>
      <w:r>
        <w:t xml:space="preserve"> Journal of Cheminformatics</w:t>
      </w:r>
    </w:p>
    <w:p>
      <w:pPr>
        <w:pStyle w:val="Normal"/>
      </w:pPr>
      <w:r>
        <w:rPr>
          <w:b/>
        </w:rPr>
        <w:t>Scope of this review.</w:t>
      </w:r>
      <w:r>
        <w:t xml:space="preserve"> Three items — the Chemprop backend failures, the held-out-data consultation in ensemble member selection, and the single-split/single-seed design — are being addressed by the author separately and are deliberately </w:t>
      </w:r>
      <w:r>
        <w:rPr>
          <w:b/>
        </w:rPr>
        <w:t>out of scope here</w:t>
      </w:r>
      <w:r>
        <w:t xml:space="preserve">. This report covers everything else: novelty and positioning, claims-vs-evidence that do </w:t>
      </w:r>
      <w:r>
        <w:rPr>
          <w:i/>
        </w:rPr>
        <w:t>not</w:t>
      </w:r>
      <w:r>
        <w:t xml:space="preserve"> depend on seed variance, article-type fit, mechanical/declaration compliance, and writing style. Where the seed issue is unavoidable context, I flag it only briefly and defer it.</w:t>
      </w:r>
    </w:p>
    <w:p>
      <w:pPr>
        <w:pStyle w:val="Normal"/>
      </w:pPr>
      <w:r>
        <w:rPr>
          <w:b/>
        </w:rPr>
        <w:t>Recommendation on the in-scope elements:</w:t>
      </w:r>
      <w:r>
        <w:t xml:space="preserve"> </w:t>
      </w:r>
      <w:r>
        <w:rPr>
          <w:b/>
        </w:rPr>
        <w:t>Minor-to-major revision</w:t>
      </w:r>
      <w:r>
        <w:t>, driven mainly by novelty framing and article-type fit; the remaining items are polish that the manuscript can absorb without new experiments.</w:t>
      </w:r>
    </w:p>
    <w:p>
      <w:pPr>
        <w:pBdr>
          <w:bottom w:val="single" w:sz="6" w:space="1" w:color="auto"/>
        </w:pBdr>
      </w:pPr>
    </w:p>
    <w:p>
      <w:pPr>
        <w:pStyle w:val="Heading2"/>
      </w:pPr>
      <w:r>
        <w:t>1. What the paper claims (for orientation)</w:t>
      </w:r>
    </w:p>
    <w:p>
      <w:pPr>
        <w:pStyle w:val="Normal"/>
      </w:pPr>
      <w:r>
        <w:t xml:space="preserve">The author reports the broadest cross-suite, leakage-controlled ADMET benchmark he is aware of — 44 datasets, 28 models, 837 evaluations, one fixed pipeline — and decomposes apparent leaderboard standing into model-library breadth (7 of 37 placements) and selection on held-out data (3 of 37, plus every first place), an inflation affecting any comparably selected entry but rarely reported. </w:t>
      </w:r>
      <w:hyperlink r:id="rId10">
        <w:r>
          <w:rPr>
            <w:b/>
            <w:color w:val="1F5132"/>
            <w:sz w:val="18"/>
            <w:szCs w:val="18"/>
            <w:position w:val="7"/>
          </w:rPr>
          <w:t>1</w:t>
        </w:r>
      </w:hyperlink>
      <w:r>
        <w:t xml:space="preserve"> The benchmark spans 22 regression and 22 classification tasks from five collections: TDC (32), Polaris ADME (5), MoleculeNet (3), ChemML (2) and PODUAM (2) </w:t>
      </w:r>
      <w:hyperlink r:id="rId10">
        <w:r>
          <w:rPr>
            <w:b/>
            <w:color w:val="1F5132"/>
            <w:sz w:val="18"/>
            <w:szCs w:val="18"/>
            <w:position w:val="7"/>
          </w:rPr>
          <w:t>1</w:t>
        </w:r>
      </w:hyperlink>
      <w:r>
        <w:t xml:space="preserve">, and the novelty claim is explicitly a </w:t>
      </w:r>
      <w:r>
        <w:rPr>
          <w:i/>
        </w:rPr>
        <w:t>combination</w:t>
      </w:r>
      <w:r>
        <w:t xml:space="preserve"> claim: each individual capability already exists in the landscape; what no single tool combines is a code-free interface, breadth across model families, uniform leakage-controlled evaluation across multiple benchmark suites, and feasibility on consumer hardware. </w:t>
      </w:r>
      <w:hyperlink r:id="rId10">
        <w:r>
          <w:rPr>
            <w:b/>
            <w:color w:val="1F5132"/>
            <w:sz w:val="18"/>
            <w:szCs w:val="18"/>
            <w:position w:val="7"/>
          </w:rPr>
          <w:t>1</w:t>
        </w:r>
      </w:hyperlink>
    </w:p>
    <w:p>
      <w:pPr>
        <w:pStyle w:val="Normal"/>
      </w:pPr>
      <w:r>
        <w:rPr>
          <w:b/>
        </w:rPr>
        <w:t>Strengths worth preserving.</w:t>
      </w:r>
      <w:r>
        <w:t xml:space="preserve"> The uniform, one-configuration evaluation across five suites with train-only feature filtering (a leak-free pre-filter using statistics computed on the training partition only and applied identically to the held-out set </w:t>
      </w:r>
      <w:hyperlink r:id="rId10">
        <w:r>
          <w:rPr>
            <w:b/>
            <w:color w:val="1F5132"/>
            <w:sz w:val="18"/>
            <w:szCs w:val="18"/>
            <w:position w:val="7"/>
          </w:rPr>
          <w:t>1</w:t>
        </w:r>
      </w:hyperlink>
      <w:r>
        <w:t xml:space="preserve">); the honest Limitations section; and above all the </w:t>
      </w:r>
      <w:r>
        <w:rPr>
          <w:b/>
        </w:rPr>
        <w:t>breadth-vs-selection decomposition</w:t>
      </w:r>
      <w:r>
        <w:t>, which is the paper's most original and defensible contribution.</w:t>
      </w:r>
    </w:p>
    <w:p>
      <w:pPr>
        <w:pBdr>
          <w:bottom w:val="single" w:sz="6" w:space="1" w:color="auto"/>
        </w:pBdr>
      </w:pPr>
    </w:p>
    <w:p>
      <w:pPr>
        <w:pStyle w:val="Heading2"/>
      </w:pPr>
      <w:r>
        <w:t>2. Major issue A — Novelty and positioning</w:t>
      </w:r>
    </w:p>
    <w:p>
      <w:pPr>
        <w:pStyle w:val="Normal"/>
      </w:pPr>
      <w:r>
        <w:t xml:space="preserve">The manuscript is careful not to claim a first, only a combination. Testing that combination against the current landscape shows it is </w:t>
      </w:r>
      <w:r>
        <w:rPr>
          <w:i/>
        </w:rPr>
        <w:t>partly</w:t>
      </w:r>
      <w:r>
        <w:t xml:space="preserve"> anticipated, which means the novelty must be re-centred:</w:t>
      </w:r>
    </w:p>
    <w:p>
      <w:pPr>
        <w:pStyle w:val="ListParagraph"/>
        <w:tabs>
          <w:tab w:pos="720" w:val="left"/>
        </w:tabs>
        <w:ind w:left="720" w:hanging="360"/>
      </w:pPr>
      <w:r>
        <w:t>•</w:t>
        <w:tab/>
      </w:r>
      <w:r>
        <w:rPr>
          <w:b/>
        </w:rPr>
        <w:t>Breadth is exceeded by DeepChem</w:t>
      </w:r>
      <w:r>
        <w:t xml:space="preserve">, which provides 60+ model architectures (graph neural networks, transformers, classical ML) with 50+ molecular featurizers and standardized MoleculeNet datasets, plus hyperparameter optimization and a unified load–featurize–split–train–evaluate API. </w:t>
      </w:r>
      <w:hyperlink r:id="rId11">
        <w:r>
          <w:rPr>
            <w:b/>
            <w:color w:val="1F5132"/>
            <w:sz w:val="18"/>
            <w:szCs w:val="18"/>
            <w:position w:val="7"/>
          </w:rPr>
          <w:t>2</w:t>
        </w:r>
      </w:hyperlink>
      <w:r>
        <w:t xml:space="preserve"> DeepChem is code-based, so QSARena's real differentiator here is the </w:t>
      </w:r>
      <w:r>
        <w:rPr>
          <w:i/>
        </w:rPr>
        <w:t>interface</w:t>
      </w:r>
      <w:r>
        <w:t xml:space="preserve">, not the </w:t>
      </w:r>
      <w:r>
        <w:rPr>
          <w:i/>
        </w:rPr>
        <w:t>breadth</w:t>
      </w:r>
      <w:r>
        <w:t>.</w:t>
      </w:r>
    </w:p>
    <w:p>
      <w:pPr>
        <w:pStyle w:val="ListParagraph"/>
        <w:tabs>
          <w:tab w:pos="720" w:val="left"/>
        </w:tabs>
        <w:ind w:left="720" w:hanging="360"/>
      </w:pPr>
      <w:r>
        <w:t>•</w:t>
        <w:tab/>
      </w:r>
      <w:r>
        <w:rPr>
          <w:b/>
        </w:rPr>
        <w:t>A code-free web pipeline with many methods is anticipated by OCHEM and ChemSAR.</w:t>
      </w:r>
      <w:r>
        <w:t xml:space="preserve"> OCHEM is a web-based platform that automates the typical steps of QSAR modeling, integrating a database with a modeling framework supporting descriptor calculation and selection, multiple machine-learning methods, validation, and applicability-domain assessment. </w:t>
      </w:r>
      <w:hyperlink r:id="rId12">
        <w:r>
          <w:rPr>
            <w:b/>
            <w:color w:val="1F5132"/>
            <w:sz w:val="18"/>
            <w:szCs w:val="18"/>
            <w:position w:val="7"/>
          </w:rPr>
          <w:t>3</w:t>
        </w:r>
      </w:hyperlink>
      <w:r>
        <w:t xml:space="preserve"> ChemSAR similarly provides a user-friendly web interface allowing users to complete the entire workflow via a step-by-step submission process without any programming effort. </w:t>
      </w:r>
      <w:hyperlink r:id="rId13">
        <w:r>
          <w:rPr>
            <w:b/>
            <w:color w:val="1F5132"/>
            <w:sz w:val="18"/>
            <w:szCs w:val="18"/>
            <w:position w:val="7"/>
          </w:rPr>
          <w:t>4</w:t>
        </w:r>
      </w:hyperlink>
      <w:r>
        <w:t xml:space="preserve"> The "code-free + many methods" portion of the claim is therefore not novel on its own.</w:t>
      </w:r>
    </w:p>
    <w:p>
      <w:pPr>
        <w:pStyle w:val="ListParagraph"/>
        <w:tabs>
          <w:tab w:pos="720" w:val="left"/>
        </w:tabs>
        <w:ind w:left="720" w:hanging="360"/>
      </w:pPr>
      <w:r>
        <w:t>•</w:t>
        <w:tab/>
      </w:r>
      <w:r>
        <w:rPr>
          <w:b/>
        </w:rPr>
        <w:t>QSPRpred (published in this journal) overlaps on modularity and rigor</w:t>
      </w:r>
      <w:r>
        <w:t xml:space="preserve"> and must be differentiated explicitly. It offers a unified interface for building QSPR models across descriptor types and ML algorithms, a CLI for basic use and a Python API for advanced workflows, built on RDKit and scikit-learn </w:t>
      </w:r>
      <w:hyperlink r:id="rId14">
        <w:r>
          <w:rPr>
            <w:b/>
            <w:color w:val="1F5132"/>
            <w:sz w:val="18"/>
            <w:szCs w:val="18"/>
            <w:position w:val="7"/>
          </w:rPr>
          <w:t>5</w:t>
        </w:r>
      </w:hyperlink>
      <w:r>
        <w:t xml:space="preserve">, including hyperparameter optimization and a standardized serialization scheme that improves reproducibility. </w:t>
      </w:r>
      <w:hyperlink r:id="rId15">
        <w:r>
          <w:rPr>
            <w:b/>
            <w:color w:val="1F5132"/>
            <w:sz w:val="18"/>
            <w:szCs w:val="18"/>
            <w:position w:val="7"/>
          </w:rPr>
          <w:t>6</w:t>
        </w:r>
      </w:hyperlink>
    </w:p>
    <w:p>
      <w:pPr>
        <w:pStyle w:val="ListParagraph"/>
        <w:tabs>
          <w:tab w:pos="720" w:val="left"/>
        </w:tabs>
        <w:ind w:left="720" w:hanging="360"/>
      </w:pPr>
      <w:r>
        <w:t>•</w:t>
        <w:tab/>
      </w:r>
      <w:r>
        <w:rPr>
          <w:b/>
        </w:rPr>
        <w:t>ADMET-AI is the natural accuracy comparator</w:t>
      </w:r>
      <w:r>
        <w:t xml:space="preserve">: a web interface plus command-line/Python tool predicting ADMET via a Chemprop-RDKit graph neural network trained on 41 TDC datasets, with the highest average rank on the TDC ADMET Benchmark Group leaderboard and the fastest web-based prediction. </w:t>
      </w:r>
      <w:hyperlink r:id="rId16">
        <w:r>
          <w:rPr>
            <w:b/>
            <w:color w:val="1F5132"/>
            <w:sz w:val="18"/>
            <w:szCs w:val="18"/>
            <w:position w:val="7"/>
          </w:rPr>
          <w:t>7</w:t>
        </w:r>
      </w:hyperlink>
      <w:r>
        <w:t xml:space="preserve"> Its structural limitation relative to QSARena is architectural narrowness — a single fixed GNN, limited to 41 TDC datasets </w:t>
      </w:r>
      <w:hyperlink r:id="rId17">
        <w:r>
          <w:rPr>
            <w:b/>
            <w:color w:val="1F5132"/>
            <w:sz w:val="18"/>
            <w:szCs w:val="18"/>
            <w:position w:val="7"/>
          </w:rPr>
          <w:t>8</w:t>
        </w:r>
      </w:hyperlink>
      <w:r>
        <w:t xml:space="preserve"> — which is precisely the axis on which QSARena's multi-family breadth is a legitimate differentiator.</w:t>
      </w:r>
    </w:p>
    <w:p>
      <w:pPr>
        <w:pStyle w:val="Normal"/>
      </w:pPr>
      <w:r>
        <w:rPr>
          <w:b/>
        </w:rPr>
        <w:t>Recommendation.</w:t>
      </w:r>
      <w:r>
        <w:t xml:space="preserve"> Re-centre the stated novelty on the two things genuinely without precedent in this combination: (1) the </w:t>
      </w:r>
      <w:r>
        <w:rPr>
          <w:b/>
        </w:rPr>
        <w:t>uniform, leakage-controlled cross-suite benchmark under one fixed configuration</w:t>
      </w:r>
      <w:r>
        <w:t xml:space="preserve">, and (2) the </w:t>
      </w:r>
      <w:r>
        <w:rPr>
          <w:b/>
        </w:rPr>
        <w:t>selection-inflation decomposition</w:t>
      </w:r>
      <w:r>
        <w:t>. Demote "code-free breadth" to a usability feature rather than the scientific advance, and add a short, explicit differentiation paragraph naming DeepChem, QSPRpred, OCHEM/ChemSAR and ADMET-AI and stating, for each, what QSARena does that it does not. This is the single highest-leverage textual change in the paper.</w:t>
      </w:r>
    </w:p>
    <w:p>
      <w:pPr>
        <w:pBdr>
          <w:bottom w:val="single" w:sz="6" w:space="1" w:color="auto"/>
        </w:pBdr>
      </w:pPr>
    </w:p>
    <w:p>
      <w:pPr>
        <w:pStyle w:val="Heading2"/>
      </w:pPr>
      <w:r>
        <w:t>3. Major issue B — Claims vs. evidence (seed-independent)</w:t>
      </w:r>
    </w:p>
    <w:p>
      <w:pPr>
        <w:pStyle w:val="Normal"/>
      </w:pPr>
      <w:r>
        <w:t>Setting the seed question aside, two seed-</w:t>
      </w:r>
      <w:r>
        <w:rPr>
          <w:i/>
        </w:rPr>
        <w:t>independent</w:t>
      </w:r>
      <w:r>
        <w:t xml:space="preserve"> problems remain in how the leaderboard-standing results are framed, and both are already acknowledged in the body but not inherited by the abstract/conclusions:</w:t>
      </w:r>
    </w:p>
    <w:p>
      <w:pPr>
        <w:pStyle w:val="ListParagraph"/>
        <w:tabs>
          <w:tab w:pos="720" w:val="left"/>
        </w:tabs>
        <w:ind w:left="720" w:hanging="360"/>
      </w:pPr>
      <w:r>
        <w:t>1.</w:t>
        <w:tab/>
      </w:r>
      <w:r>
        <w:rPr>
          <w:b/>
        </w:rPr>
        <w:t>The reference set the ranks are scored against is contaminated in both directions.</w:t>
      </w:r>
      <w:r>
        <w:t xml:space="preserve"> The author notes the reference set is imperfect: the cited audit found that only three top-ranked TDC ADMET entries — CaliciBoost, MapLight and MapLight + GNN — passed all reproducibility and leakage checks, and QSARena's estimated ranks are computed against exactly those published values, producing a bias against QSARena of unknown size. </w:t>
      </w:r>
      <w:hyperlink r:id="rId10">
        <w:r>
          <w:rPr>
            <w:b/>
            <w:color w:val="1F5132"/>
            <w:sz w:val="18"/>
            <w:szCs w:val="18"/>
            <w:position w:val="7"/>
          </w:rPr>
          <w:t>1</w:t>
        </w:r>
      </w:hyperlink>
      <w:r>
        <w:t xml:space="preserve"> This is corroborated externally: the audit reports that only CaliciBoost, MapLight, and MapLight + GNN passed all reproducibility and data-leakage checks, with data leakage identified in several other entries and deliberately overfitted variants reaching the top three on 10 of 22 endpoints. </w:t>
      </w:r>
      <w:hyperlink r:id="rId18">
        <w:r>
          <w:rPr>
            <w:b/>
            <w:color w:val="1F5132"/>
            <w:sz w:val="18"/>
            <w:szCs w:val="18"/>
            <w:position w:val="7"/>
          </w:rPr>
          <w:t>9</w:t>
        </w:r>
      </w:hyperlink>
    </w:p>
    <w:p>
      <w:pPr>
        <w:pStyle w:val="ListParagraph"/>
        <w:tabs>
          <w:tab w:pos="720" w:val="left"/>
        </w:tabs>
        <w:ind w:left="720" w:hanging="360"/>
      </w:pPr>
      <w:r>
        <w:t>2.</w:t>
        <w:tab/>
      </w:r>
      <w:r>
        <w:rPr>
          <w:b/>
        </w:rPr>
        <w:t>The reference table is internally non-comparable.</w:t>
      </w:r>
      <w:r>
        <w:t xml:space="preserve"> It contains 64 rows claiming first place across 28 datasets, caco2_wang alone carries four different models recorded as rank 1, and none of MaxQsaring, ADMETboost, ADMET-AI, Auto-ADMET or DeepAutoQSAR appears in the captured TDC leaderboard snapshots. </w:t>
      </w:r>
      <w:hyperlink r:id="rId10">
        <w:r>
          <w:rPr>
            <w:b/>
            <w:color w:val="1F5132"/>
            <w:sz w:val="18"/>
            <w:szCs w:val="18"/>
            <w:position w:val="7"/>
          </w:rPr>
          <w:t>1</w:t>
        </w:r>
      </w:hyperlink>
    </w:p>
    <w:p>
      <w:pPr>
        <w:pStyle w:val="Normal"/>
      </w:pPr>
      <w:r>
        <w:t xml:space="preserve">Neither of these is a seed problem — they would remain even with a perfect multi-seed run. Yet the Conclusions still lead with a precise-sounding estimated top-ten placement on 35 of 37 leaderboard-comparable datasets … with a median estimated rank of 3. </w:t>
      </w:r>
      <w:hyperlink r:id="rId10">
        <w:r>
          <w:rPr>
            <w:b/>
            <w:color w:val="1F5132"/>
            <w:sz w:val="18"/>
            <w:szCs w:val="18"/>
            <w:position w:val="7"/>
          </w:rPr>
          <w:t>1</w:t>
        </w:r>
      </w:hyperlink>
    </w:p>
    <w:p>
      <w:pPr>
        <w:pStyle w:val="Normal"/>
      </w:pPr>
      <w:r>
        <w:rPr>
          <w:b/>
        </w:rPr>
        <w:t>Recommendation.</w:t>
      </w:r>
      <w:r>
        <w:t xml:space="preserve"> Move the estimated ranks out of the headline framing and present them as an explicitly provisional, bias-flagged </w:t>
      </w:r>
      <w:r>
        <w:rPr>
          <w:i/>
        </w:rPr>
        <w:t>secondary</w:t>
      </w:r>
      <w:r>
        <w:t xml:space="preserve"> analysis. The abstract and conclusions should lead with the robust, seed-and-reference-independent contribution — the breadth-vs-selection decomposition — which the paper itself frames as the point: "we do not claim accuracy leadership; several systems report stronger per-endpoint results." </w:t>
      </w:r>
      <w:hyperlink r:id="rId10">
        <w:r>
          <w:rPr>
            <w:b/>
            <w:color w:val="1F5132"/>
            <w:sz w:val="18"/>
            <w:szCs w:val="18"/>
            <w:position w:val="7"/>
          </w:rPr>
          <w:t>1</w:t>
        </w:r>
      </w:hyperlink>
      <w:r>
        <w:t xml:space="preserve"> A useful internal quantity to elevate instead is the gap the author already trusts most: the gap between the test-selected and cross-validation-selected protocols, which is internal to the run and free of reference-set contamination. </w:t>
      </w:r>
      <w:hyperlink r:id="rId10">
        <w:r>
          <w:rPr>
            <w:b/>
            <w:color w:val="1F5132"/>
            <w:sz w:val="18"/>
            <w:szCs w:val="18"/>
            <w:position w:val="7"/>
          </w:rPr>
          <w:t>1</w:t>
        </w:r>
      </w:hyperlink>
    </w:p>
    <w:p>
      <w:pPr>
        <w:pStyle w:val="Normal"/>
      </w:pPr>
      <w:r>
        <w:rPr>
          <w:i/>
        </w:rPr>
        <w:t>(Deferred, seed-linked: the additional instability the ranks inherit from a single seed — you're handling that separately.)</w:t>
      </w:r>
    </w:p>
    <w:p>
      <w:pPr>
        <w:pBdr>
          <w:bottom w:val="single" w:sz="6" w:space="1" w:color="auto"/>
        </w:pBdr>
      </w:pPr>
    </w:p>
    <w:p>
      <w:pPr>
        <w:pStyle w:val="Heading2"/>
      </w:pPr>
      <w:r>
        <w:t>4. Article-type recommendation</w:t>
      </w:r>
    </w:p>
    <w:p>
      <w:pPr>
        <w:pStyle w:val="Normal"/>
      </w:pPr>
      <w:r>
        <w:t xml:space="preserve">Because the scientific weight sits in the benchmark and its decomposition rather than in a feature-set advance over prior software, I recommend submitting as a </w:t>
      </w:r>
      <w:r>
        <w:rPr>
          <w:b/>
        </w:rPr>
        <w:t>Research (benchmarking) article</w:t>
      </w:r>
      <w:r>
        <w:t xml:space="preserve"> rather than a </w:t>
      </w:r>
      <w:r>
        <w:rPr>
          <w:b/>
        </w:rPr>
        <w:t>Software</w:t>
      </w:r>
      <w:r>
        <w:t xml:space="preserve"> article. A Software article invokes the journal's expectation of "a significant advance over previously published software, usually demonstrated by direct comparison with available related software" </w:t>
      </w:r>
      <w:hyperlink r:id="rId19">
        <w:r>
          <w:rPr>
            <w:b/>
            <w:color w:val="1F5132"/>
            <w:sz w:val="18"/>
            <w:szCs w:val="18"/>
            <w:position w:val="7"/>
          </w:rPr>
          <w:t>10</w:t>
        </w:r>
      </w:hyperlink>
      <w:r>
        <w:t xml:space="preserve"> — and the manuscript's cross-tool table is explicitly not a set of head-to-head comparisons, because rows use different splits, seeds and selection protocols. </w:t>
      </w:r>
      <w:hyperlink r:id="rId10">
        <w:r>
          <w:rPr>
            <w:b/>
            <w:color w:val="1F5132"/>
            <w:sz w:val="18"/>
            <w:szCs w:val="18"/>
            <w:position w:val="7"/>
          </w:rPr>
          <w:t>1</w:t>
        </w:r>
      </w:hyperlink>
      <w:r>
        <w:t xml:space="preserve"> If the author prefers the Software route, at least one genuine head-to-head (QSARena vs QSPRpred/DeepChem/ADMET-AI on the 22 TDC benchmark-group splits under an identical protocol) becomes required rather than optional.</w:t>
      </w:r>
    </w:p>
    <w:p>
      <w:pPr>
        <w:pStyle w:val="Normal"/>
      </w:pPr>
      <w:r>
        <w:t xml:space="preserve">There is a timely home either way: the journal is currently running the collection "Evaluating AI and machine learning models in cheminformatics: benchmarking techniques and case studies," </w:t>
      </w:r>
      <w:hyperlink r:id="rId20">
        <w:r>
          <w:rPr>
            <w:b/>
            <w:color w:val="1F5132"/>
            <w:sz w:val="18"/>
            <w:szCs w:val="18"/>
            <w:position w:val="7"/>
          </w:rPr>
          <w:t>11</w:t>
        </w:r>
      </w:hyperlink>
      <w:r>
        <w:t xml:space="preserve"> which is an excellent fit for the decomposition result. (Confirm the collection's deadline and scope before committing.)</w:t>
      </w:r>
    </w:p>
    <w:p>
      <w:pPr>
        <w:pBdr>
          <w:bottom w:val="single" w:sz="6" w:space="1" w:color="auto"/>
        </w:pBdr>
      </w:pPr>
    </w:p>
    <w:p>
      <w:pPr>
        <w:pStyle w:val="Heading2"/>
      </w:pPr>
      <w:r>
        <w:t>5. Minor and mechanical issues</w:t>
      </w:r>
    </w:p>
    <w:p>
      <w:pPr>
        <w:pStyle w:val="ListParagraph"/>
        <w:tabs>
          <w:tab w:pos="720" w:val="left"/>
        </w:tabs>
        <w:ind w:left="720" w:hanging="360"/>
      </w:pPr>
      <w:r>
        <w:t>1.</w:t>
        <w:tab/>
      </w:r>
      <w:r>
        <w:rPr>
          <w:b/>
        </w:rPr>
        <w:t>Dataset accounting is confusingly stated.</w:t>
      </w:r>
      <w:r>
        <w:t xml:space="preserve"> Of 45 datasets attempted, 43 completed; tdc_herg_central was abandoned after more than 24 hours, and polaris_adme_fang_hppb_1 was interrupted but retained, giving 44 analysed. </w:t>
      </w:r>
      <w:hyperlink r:id="rId10">
        <w:r>
          <w:rPr>
            <w:b/>
            <w:color w:val="1F5132"/>
            <w:sz w:val="18"/>
            <w:szCs w:val="18"/>
            <w:position w:val="7"/>
          </w:rPr>
          <w:t>1</w:t>
        </w:r>
      </w:hyperlink>
      <w:r>
        <w:t xml:space="preserve"> Present this as an explicit reconciliation (45 attempted − 1 abandoned = 44 analysed, of which 1 partial-but-retained) so readers are not left doing the arithmetic.</w:t>
      </w:r>
    </w:p>
    <w:p>
      <w:pPr>
        <w:pStyle w:val="ListParagraph"/>
        <w:tabs>
          <w:tab w:pos="720" w:val="left"/>
        </w:tabs>
        <w:ind w:left="720" w:hanging="360"/>
      </w:pPr>
      <w:r>
        <w:t>2.</w:t>
        <w:tab/>
      </w:r>
      <w:r>
        <w:rPr>
          <w:b/>
        </w:rPr>
        <w:t>Reviewer anonymity / repository de-anonymization.</w:t>
      </w:r>
      <w:r>
        <w:t xml:space="preserve"> The journal requires that the software be available for testing by reviewers in a way that preserves their anonymity. </w:t>
      </w:r>
      <w:hyperlink r:id="rId19">
        <w:r>
          <w:rPr>
            <w:b/>
            <w:color w:val="1F5132"/>
            <w:sz w:val="18"/>
            <w:szCs w:val="18"/>
            <w:position w:val="7"/>
          </w:rPr>
          <w:t>10</w:t>
        </w:r>
      </w:hyperlink>
      <w:r>
        <w:t xml:space="preserve"> The repository </w:t>
      </w:r>
      <w:hyperlink r:id="rId21">
        <w:r>
          <w:rPr>
            <w:color w:val="1F5132"/>
            <w:u w:val="single"/>
          </w:rPr>
          <w:t>https://github.com/ScottCoffin/QSARena</w:t>
        </w:r>
      </w:hyperlink>
      <w:r>
        <w:t xml:space="preserve"> </w:t>
      </w:r>
      <w:hyperlink r:id="rId10">
        <w:r>
          <w:rPr>
            <w:b/>
            <w:color w:val="1F5132"/>
            <w:sz w:val="18"/>
            <w:szCs w:val="18"/>
            <w:position w:val="7"/>
          </w:rPr>
          <w:t>1</w:t>
        </w:r>
      </w:hyperlink>
      <w:r>
        <w:t xml:space="preserve"> discloses the author's identity in its URL; provide an anonymized mirror or a code archive as an additional file for review.</w:t>
      </w:r>
    </w:p>
    <w:p>
      <w:pPr>
        <w:pStyle w:val="ListParagraph"/>
        <w:tabs>
          <w:tab w:pos="720" w:val="left"/>
        </w:tabs>
        <w:ind w:left="720" w:hanging="360"/>
      </w:pPr>
      <w:r>
        <w:t>3.</w:t>
        <w:tab/>
      </w:r>
      <w:r>
        <w:rPr>
          <w:b/>
        </w:rPr>
        <w:t>Zenodo archive is still a placeholder.</w:t>
      </w:r>
      <w:r>
        <w:t xml:space="preserve"> A versioned release archived on Zenodo, including the per-molecule prediction files excluded from the repository for size, "will be deposited before publication and its DOI cited here" (marked [AUTHOR]). </w:t>
      </w:r>
      <w:hyperlink r:id="rId10">
        <w:r>
          <w:rPr>
            <w:b/>
            <w:color w:val="1F5132"/>
            <w:sz w:val="18"/>
            <w:szCs w:val="18"/>
            <w:position w:val="7"/>
          </w:rPr>
          <w:t>1</w:t>
        </w:r>
      </w:hyperlink>
      <w:r>
        <w:t xml:space="preserve"> The journal strongly encourages archiving the specific software version on Zenodo or equivalent. </w:t>
      </w:r>
      <w:hyperlink r:id="rId19">
        <w:r>
          <w:rPr>
            <w:b/>
            <w:color w:val="1F5132"/>
            <w:sz w:val="18"/>
            <w:szCs w:val="18"/>
            <w:position w:val="7"/>
          </w:rPr>
          <w:t>10</w:t>
        </w:r>
      </w:hyperlink>
      <w:r>
        <w:t xml:space="preserve"> Deposit and cite the DOI at submission, and confirm the excluded per-molecule predictions are inside that archive, since they are part of what makes the conclusions reproducible.</w:t>
      </w:r>
    </w:p>
    <w:p>
      <w:pPr>
        <w:pStyle w:val="ListParagraph"/>
        <w:tabs>
          <w:tab w:pos="720" w:val="left"/>
        </w:tabs>
        <w:ind w:left="720" w:hanging="360"/>
      </w:pPr>
      <w:r>
        <w:t>4.</w:t>
        <w:tab/>
      </w:r>
      <w:r>
        <w:rPr>
          <w:b/>
        </w:rPr>
        <w:t>Declarations: add Funding and Acknowledgements.</w:t>
      </w:r>
      <w:r>
        <w:t xml:space="preserve"> Competing interests and ethics/consent are present — the author declares no competing interests </w:t>
      </w:r>
      <w:hyperlink r:id="rId10">
        <w:r>
          <w:rPr>
            <w:b/>
            <w:color w:val="1F5132"/>
            <w:sz w:val="18"/>
            <w:szCs w:val="18"/>
            <w:position w:val="7"/>
          </w:rPr>
          <w:t>1</w:t>
        </w:r>
      </w:hyperlink>
      <w:r>
        <w:t xml:space="preserve">; ethics approval/consent and consent for publication are "Not applicable." </w:t>
      </w:r>
      <w:hyperlink r:id="rId10">
        <w:r>
          <w:rPr>
            <w:b/>
            <w:color w:val="1F5132"/>
            <w:sz w:val="18"/>
            <w:szCs w:val="18"/>
            <w:position w:val="7"/>
          </w:rPr>
          <w:t>1</w:t>
        </w:r>
      </w:hyperlink>
      <w:r>
        <w:t xml:space="preserve"> But the compute source appears only in-text — an NVIDIA A100-SXM4-40GB provided by NSF ACCESS Jetstream2 </w:t>
      </w:r>
      <w:hyperlink r:id="rId10">
        <w:r>
          <w:rPr>
            <w:b/>
            <w:color w:val="1F5132"/>
            <w:sz w:val="18"/>
            <w:szCs w:val="18"/>
            <w:position w:val="7"/>
          </w:rPr>
          <w:t>1</w:t>
        </w:r>
      </w:hyperlink>
      <w:r>
        <w:t xml:space="preserve"> — and should be surfaced in explicit Funding/Acknowledgements sections with the ACCESS allocation number.</w:t>
      </w:r>
    </w:p>
    <w:p>
      <w:pPr>
        <w:pStyle w:val="ListParagraph"/>
        <w:tabs>
          <w:tab w:pos="720" w:val="left"/>
        </w:tabs>
        <w:ind w:left="720" w:hanging="360"/>
      </w:pPr>
      <w:r>
        <w:t>5.</w:t>
        <w:tab/>
      </w:r>
      <w:r>
        <w:rPr>
          <w:b/>
        </w:rPr>
        <w:t>Add a generative-AI use statement.</w:t>
      </w:r>
      <w:r>
        <w:t xml:space="preserve"> BMC/Springer Nature requires disclosure of any generative-AI assistance in writing or code; I did not find such a statement. Given the prose style (Section 6), an explicit disclosure is both expected and prudent.</w:t>
      </w:r>
    </w:p>
    <w:p>
      <w:pPr>
        <w:pStyle w:val="ListParagraph"/>
        <w:tabs>
          <w:tab w:pos="720" w:val="left"/>
        </w:tabs>
        <w:ind w:left="720" w:hanging="360"/>
      </w:pPr>
      <w:r>
        <w:t>6.</w:t>
        <w:tab/>
      </w:r>
      <w:r>
        <w:rPr>
          <w:b/>
        </w:rPr>
        <w:t>Data-availability wording.</w:t>
      </w:r>
      <w:r>
        <w:t xml:space="preserve"> The content is thorough — the source code, benchmark runner, analysis notebook, per-dataset artifacts, split-signature hashes, environment specifications, an Apptainer definition and submission scripts are in the repository, and all datasets are publicly available via PyTDC, MoleculeNet, Polaris, PODUAM and the ChemML examples. </w:t>
      </w:r>
      <w:hyperlink r:id="rId10">
        <w:r>
          <w:rPr>
            <w:b/>
            <w:color w:val="1F5132"/>
            <w:sz w:val="18"/>
            <w:szCs w:val="18"/>
            <w:position w:val="7"/>
          </w:rPr>
          <w:t>1</w:t>
        </w:r>
      </w:hyperlink>
      <w:r>
        <w:t xml:space="preserve"> Align it to the journal's required "Availability of data and materials" phrasing and cite each dataset with a persistent identifier per the journal's data-citation policy. The MIT license is correctly declared: "License: MIT License (OSI-approved); see the LICENSE file in the repository." </w:t>
      </w:r>
      <w:hyperlink r:id="rId10">
        <w:r>
          <w:rPr>
            <w:b/>
            <w:color w:val="1F5132"/>
            <w:sz w:val="18"/>
            <w:szCs w:val="18"/>
            <w:position w:val="7"/>
          </w:rPr>
          <w:t>1</w:t>
        </w:r>
      </w:hyperlink>
    </w:p>
    <w:p>
      <w:pPr>
        <w:pStyle w:val="ListParagraph"/>
        <w:tabs>
          <w:tab w:pos="720" w:val="left"/>
        </w:tabs>
        <w:ind w:left="720" w:hanging="360"/>
      </w:pPr>
      <w:r>
        <w:t>7.</w:t>
        <w:tab/>
      </w:r>
      <w:r>
        <w:rPr>
          <w:b/>
        </w:rPr>
        <w:t>Text-assembly artifacts.</w:t>
      </w:r>
      <w:r>
        <w:t xml:space="preserve"> At least one sentence is duplicated in place — "We are explicit in Section We are explicit in Section 3.12 that we do not claim accuracy leadership…" </w:t>
      </w:r>
      <w:hyperlink r:id="rId10">
        <w:r>
          <w:rPr>
            <w:b/>
            <w:color w:val="1F5132"/>
            <w:sz w:val="18"/>
            <w:szCs w:val="18"/>
            <w:position w:val="7"/>
          </w:rPr>
          <w:t>1</w:t>
        </w:r>
      </w:hyperlink>
      <w:r>
        <w:t xml:space="preserve"> Proofread for such duplications, and check the dense tables (Table 2, Table 4, Table 5) in the typeset proof for run-together column headers.</w:t>
      </w:r>
    </w:p>
    <w:p>
      <w:pPr>
        <w:pBdr>
          <w:bottom w:val="single" w:sz="6" w:space="1" w:color="auto"/>
        </w:pBdr>
      </w:pPr>
    </w:p>
    <w:p>
      <w:pPr>
        <w:pStyle w:val="Heading2"/>
      </w:pPr>
      <w:r>
        <w:t>6. Writing style — narrative, "catchiness," and reducing formulaic/AI-slop patterns</w:t>
      </w:r>
    </w:p>
    <w:p>
      <w:pPr>
        <w:pStyle w:val="Normal"/>
      </w:pPr>
      <w:r>
        <w:t>The prose is confident and readable, and the title (</w:t>
      </w:r>
      <w:r>
        <w:rPr>
          <w:i/>
        </w:rPr>
        <w:t>No Single Model Family Dominates</w:t>
      </w:r>
      <w:r>
        <w:t>) is genuinely catchy and appropriate. The candor is a real asset. The weakness is repetition: the writing leans on a small set of rhetorical moves so consistently that it reads as machine-polished rather than authored.</w:t>
      </w:r>
    </w:p>
    <w:p>
      <w:pPr>
        <w:pStyle w:val="Normal"/>
      </w:pPr>
      <w:r>
        <w:rPr>
          <w:b/>
        </w:rPr>
        <w:t>Patterns to dial back</w:t>
      </w:r>
    </w:p>
    <w:p>
      <w:pPr>
        <w:pStyle w:val="ListParagraph"/>
        <w:tabs>
          <w:tab w:pos="720" w:val="left"/>
        </w:tabs>
        <w:ind w:left="720" w:hanging="360"/>
      </w:pPr>
      <w:r>
        <w:t>•</w:t>
        <w:tab/>
      </w:r>
      <w:r>
        <w:rPr>
          <w:b/>
        </w:rPr>
        <w:t>Antithesis / "not X, but Y" as a default sentence engine.</w:t>
      </w:r>
      <w:r>
        <w:t xml:space="preserve"> It recurs constantly: "parity is untested, not lost" </w:t>
      </w:r>
      <w:hyperlink r:id="rId10">
        <w:r>
          <w:rPr>
            <w:b/>
            <w:color w:val="1F5132"/>
            <w:sz w:val="18"/>
            <w:szCs w:val="18"/>
            <w:position w:val="7"/>
          </w:rPr>
          <w:t>1</w:t>
        </w:r>
      </w:hyperlink>
      <w:r>
        <w:t xml:space="preserve">; "What the A100 bought was not accuracy but capacity and throughput" </w:t>
      </w:r>
      <w:hyperlink r:id="rId10">
        <w:r>
          <w:rPr>
            <w:b/>
            <w:color w:val="1F5132"/>
            <w:sz w:val="18"/>
            <w:szCs w:val="18"/>
            <w:position w:val="7"/>
          </w:rPr>
          <w:t>1</w:t>
        </w:r>
      </w:hyperlink>
      <w:r>
        <w:t xml:space="preserve">; "the conclusion we draw from them is directional rather than quantitative." </w:t>
      </w:r>
      <w:hyperlink r:id="rId10">
        <w:r>
          <w:rPr>
            <w:b/>
            <w:color w:val="1F5132"/>
            <w:sz w:val="18"/>
            <w:szCs w:val="18"/>
            <w:position w:val="7"/>
          </w:rPr>
          <w:t>1</w:t>
        </w:r>
      </w:hyperlink>
      <w:r>
        <w:t xml:space="preserve"> One or two land; a dozen makes the argument feel templated. Keep the strongest two or three and rewrite the rest as plain declaratives.</w:t>
      </w:r>
    </w:p>
    <w:p>
      <w:pPr>
        <w:pStyle w:val="ListParagraph"/>
        <w:tabs>
          <w:tab w:pos="720" w:val="left"/>
        </w:tabs>
        <w:ind w:left="720" w:hanging="360"/>
      </w:pPr>
      <w:r>
        <w:t>•</w:t>
        <w:tab/>
      </w:r>
      <w:r>
        <w:rPr>
          <w:b/>
        </w:rPr>
        <w:t>Rule-of-three lists.</w:t>
      </w:r>
      <w:r>
        <w:t xml:space="preserve"> "The finding, the breadth and the accessibility are the contribution … the accessibility and the accuracy are not in tension." </w:t>
      </w:r>
      <w:hyperlink r:id="rId10">
        <w:r>
          <w:rPr>
            <w:b/>
            <w:color w:val="1F5132"/>
            <w:sz w:val="18"/>
            <w:szCs w:val="18"/>
            <w:position w:val="7"/>
          </w:rPr>
          <w:t>1</w:t>
        </w:r>
      </w:hyperlink>
      <w:r>
        <w:t xml:space="preserve"> Tricolons everywhere signal cadence over content. Vary list length — sometimes two items, sometimes four.</w:t>
      </w:r>
    </w:p>
    <w:p>
      <w:pPr>
        <w:pStyle w:val="ListParagraph"/>
        <w:tabs>
          <w:tab w:pos="720" w:val="left"/>
        </w:tabs>
        <w:ind w:left="720" w:hanging="360"/>
      </w:pPr>
      <w:r>
        <w:t>•</w:t>
        <w:tab/>
      </w:r>
      <w:r>
        <w:rPr>
          <w:b/>
        </w:rPr>
        <w:t>Aphoristic paragraph-enders that editorialize the result.</w:t>
      </w:r>
      <w:r>
        <w:t xml:space="preserve"> "This gap is, in our view, the most practically important number in this paper." </w:t>
      </w:r>
      <w:hyperlink r:id="rId10">
        <w:r>
          <w:rPr>
            <w:b/>
            <w:color w:val="1F5132"/>
            <w:sz w:val="18"/>
            <w:szCs w:val="18"/>
            <w:position w:val="7"/>
          </w:rPr>
          <w:t>1</w:t>
        </w:r>
      </w:hyperlink>
      <w:r>
        <w:t xml:space="preserve"> Let placement and data carry the emphasis; delete the self-ranking.</w:t>
      </w:r>
    </w:p>
    <w:p>
      <w:pPr>
        <w:pStyle w:val="ListParagraph"/>
        <w:tabs>
          <w:tab w:pos="720" w:val="left"/>
        </w:tabs>
        <w:ind w:left="720" w:hanging="360"/>
      </w:pPr>
      <w:r>
        <w:t>•</w:t>
        <w:tab/>
      </w:r>
      <w:r>
        <w:rPr>
          <w:b/>
        </w:rPr>
        <w:t>Narrating one's own virtue.</w:t>
      </w:r>
      <w:r>
        <w:t xml:space="preserve"> "The consequences should be stated plainly rather than minimized" </w:t>
      </w:r>
      <w:hyperlink r:id="rId10">
        <w:r>
          <w:rPr>
            <w:b/>
            <w:color w:val="1F5132"/>
            <w:sz w:val="18"/>
            <w:szCs w:val="18"/>
            <w:position w:val="7"/>
          </w:rPr>
          <w:t>1</w:t>
        </w:r>
      </w:hyperlink>
      <w:r>
        <w:t xml:space="preserve"> and "getting it right changed our own conclusions, so we set out the procedure." </w:t>
      </w:r>
      <w:hyperlink r:id="rId10">
        <w:r>
          <w:rPr>
            <w:b/>
            <w:color w:val="1F5132"/>
            <w:sz w:val="18"/>
            <w:szCs w:val="18"/>
            <w:position w:val="7"/>
          </w:rPr>
          <w:t>1</w:t>
        </w:r>
      </w:hyperlink>
      <w:r>
        <w:t xml:space="preserve"> The honesty is admirable, but it is demonstrated by the analysis, not announced. Cut the meta-commentary; keep the substance.</w:t>
      </w:r>
    </w:p>
    <w:p>
      <w:pPr>
        <w:pStyle w:val="Normal"/>
      </w:pPr>
      <w:r>
        <w:rPr>
          <w:b/>
        </w:rPr>
        <w:t>Concrete de-slop checklist</w:t>
      </w:r>
    </w:p>
    <w:p>
      <w:pPr>
        <w:pStyle w:val="ListParagraph"/>
        <w:tabs>
          <w:tab w:pos="720" w:val="left"/>
        </w:tabs>
        <w:ind w:left="720" w:hanging="360"/>
      </w:pPr>
      <w:r>
        <w:t>1.</w:t>
        <w:tab/>
      </w:r>
      <w:r>
        <w:t>Global-search "not … but", "rather than", and "; the" and cut ~70% of the antithesis constructions.</w:t>
      </w:r>
    </w:p>
    <w:p>
      <w:pPr>
        <w:pStyle w:val="ListParagraph"/>
        <w:tabs>
          <w:tab w:pos="720" w:val="left"/>
        </w:tabs>
        <w:ind w:left="720" w:hanging="360"/>
      </w:pPr>
      <w:r>
        <w:t>2.</w:t>
        <w:tab/>
      </w:r>
      <w:r>
        <w:t>Remove first-person editorializing about the paper's own merit ("the most important number," "the more useful result").</w:t>
      </w:r>
    </w:p>
    <w:p>
      <w:pPr>
        <w:pStyle w:val="ListParagraph"/>
        <w:tabs>
          <w:tab w:pos="720" w:val="left"/>
        </w:tabs>
        <w:ind w:left="720" w:hanging="360"/>
      </w:pPr>
      <w:r>
        <w:t>3.</w:t>
        <w:tab/>
      </w:r>
      <w:r>
        <w:t>Break the uniform medium-length sentence rhythm — write some short, blunt sentences and let a few run longer with real subordination.</w:t>
      </w:r>
    </w:p>
    <w:p>
      <w:pPr>
        <w:pStyle w:val="ListParagraph"/>
        <w:tabs>
          <w:tab w:pos="720" w:val="left"/>
        </w:tabs>
        <w:ind w:left="720" w:hanging="360"/>
      </w:pPr>
      <w:r>
        <w:t>4.</w:t>
        <w:tab/>
      </w:r>
      <w:r>
        <w:t>Fix duplications and run-on artifacts (Section 5.7); these are the clearest "assembled by a machine" tells.</w:t>
      </w:r>
    </w:p>
    <w:p>
      <w:pPr>
        <w:pStyle w:val="ListParagraph"/>
        <w:tabs>
          <w:tab w:pos="720" w:val="left"/>
        </w:tabs>
        <w:ind w:left="720" w:hanging="360"/>
      </w:pPr>
      <w:r>
        <w:t>5.</w:t>
        <w:tab/>
      </w:r>
      <w:r>
        <w:t>Keep the strong, plain title; ensure the subtitle matches the tested scope.</w:t>
      </w:r>
    </w:p>
    <w:p>
      <w:pPr>
        <w:pStyle w:val="ListParagraph"/>
        <w:tabs>
          <w:tab w:pos="720" w:val="left"/>
        </w:tabs>
        <w:ind w:left="720" w:hanging="360"/>
      </w:pPr>
      <w:r>
        <w:t>6.</w:t>
        <w:tab/>
      </w:r>
      <w:r>
        <w:t>If generative AI assisted drafting, disclose it (Section 5.5) — this also disarms any reviewer who notices the stylistic fingerprints.</w:t>
      </w:r>
    </w:p>
    <w:p>
      <w:pPr>
        <w:pStyle w:val="Normal"/>
      </w:pPr>
      <w:r>
        <w:t xml:space="preserve">Net: the voice is good and should stay recognizably yours. The fix is </w:t>
      </w:r>
      <w:r>
        <w:rPr>
          <w:i/>
        </w:rPr>
        <w:t>variety and restraint</w:t>
      </w:r>
      <w:r>
        <w:t>, not a rewrite.</w:t>
      </w:r>
    </w:p>
    <w:p>
      <w:pPr>
        <w:pBdr>
          <w:bottom w:val="single" w:sz="6" w:space="1" w:color="auto"/>
        </w:pBdr>
      </w:pPr>
    </w:p>
    <w:p>
      <w:pPr>
        <w:pStyle w:val="Heading2"/>
      </w:pPr>
      <w:r>
        <w:t>7. Verdict and roadmap (in-scope items only)</w:t>
      </w:r>
    </w:p>
    <w:p>
      <w:pPr>
        <w:pStyle w:val="Normal"/>
      </w:pPr>
      <w:r>
        <w:rPr>
          <w:b/>
        </w:rPr>
        <w:t>Verdict.</w:t>
      </w:r>
      <w:r>
        <w:t xml:space="preserve"> Once the three deferred items (Chemprop, ensemble blinding, multi-seed) are resolved, the remaining barriers are primarily about </w:t>
      </w:r>
      <w:r>
        <w:rPr>
          <w:b/>
        </w:rPr>
        <w:t>framing rather than data</w:t>
      </w:r>
      <w:r>
        <w:t>: re-centre the novelty on the benchmark and the decomposition, downgrade the estimated-rank claims to a bias-flagged secondary analysis, choose the article type deliberately, and complete the declarations. None of these requires new experiments.</w:t>
      </w:r>
    </w:p>
    <w:p>
      <w:pPr>
        <w:pStyle w:val="Normal"/>
      </w:pPr>
      <w:r>
        <w:rPr>
          <w:b/>
        </w:rPr>
        <w:t>Roadmap for the remaining elements, by leverage:</w:t>
      </w:r>
    </w:p>
    <w:p>
      <w:pPr>
        <w:pStyle w:val="Normal"/>
      </w:pPr>
      <w:r>
        <w:rPr>
          <w:i/>
        </w:rPr>
        <w:t>Highest leverage (framing)</w:t>
      </w:r>
    </w:p>
    <w:p>
      <w:pPr>
        <w:pStyle w:val="ListParagraph"/>
        <w:tabs>
          <w:tab w:pos="720" w:val="left"/>
        </w:tabs>
        <w:ind w:left="720" w:hanging="360"/>
      </w:pPr>
      <w:r>
        <w:t>1.</w:t>
        <w:tab/>
      </w:r>
      <w:r>
        <w:t>Add an explicit differentiation paragraph vs DeepChem, QSPRpred, OCHEM/ChemSAR and ADMET-AI, and re-centre the stated novelty on the uniform cross-suite benchmark + the selection-inflation decomposition (Section 2).</w:t>
      </w:r>
    </w:p>
    <w:p>
      <w:pPr>
        <w:pStyle w:val="ListParagraph"/>
        <w:tabs>
          <w:tab w:pos="720" w:val="left"/>
        </w:tabs>
        <w:ind w:left="720" w:hanging="360"/>
      </w:pPr>
      <w:r>
        <w:t>2.</w:t>
        <w:tab/>
      </w:r>
      <w:r>
        <w:t>Move estimated ranks out of the abstract/conclusions; lead with the decomposition and the contamination-free CV-vs-test gap (Section 3).</w:t>
      </w:r>
    </w:p>
    <w:p>
      <w:pPr>
        <w:pStyle w:val="ListParagraph"/>
        <w:tabs>
          <w:tab w:pos="720" w:val="left"/>
        </w:tabs>
        <w:ind w:left="720" w:hanging="360"/>
      </w:pPr>
      <w:r>
        <w:t>3.</w:t>
        <w:tab/>
      </w:r>
      <w:r>
        <w:t>Decide article type — Research/benchmarking (recommended) vs Software (requires a real head-to-head) — and target the benchmarking collection (Section 4).</w:t>
      </w:r>
    </w:p>
    <w:p>
      <w:pPr>
        <w:pStyle w:val="Normal"/>
      </w:pPr>
      <w:r>
        <w:rPr>
          <w:i/>
        </w:rPr>
        <w:t>Mechanical / compliance</w:t>
      </w:r>
      <w:r>
        <w:t>4. Deposit and cite the Zenodo DOI; confirm per-molecule predictions are archived (5.3).</w:t>
      </w:r>
      <w:r>
        <w:t>5. Add Funding/Acknowledgements (ACCESS allocation) and a generative-AI disclosure (5.4–5.5).</w:t>
      </w:r>
      <w:r>
        <w:t>6. Provide an anonymized code route for reviewers (5.2).</w:t>
      </w:r>
      <w:r>
        <w:t>7. Reconcile the 45/43/44 dataset count (5.1); align the data-availability statement to journal format (5.6); proofread for duplication artifacts (5.7).</w:t>
      </w:r>
    </w:p>
    <w:p>
      <w:pPr>
        <w:pStyle w:val="Normal"/>
      </w:pPr>
      <w:r>
        <w:rPr>
          <w:i/>
        </w:rPr>
        <w:t>Style</w:t>
      </w:r>
      <w:r>
        <w:t>8. Apply the de-slop checklist (Section 6): reduce antithesis/tricolon frequency, cut self-editorializing, vary rhythm, fix assembly artifacts.</w:t>
      </w:r>
    </w:p>
    <w:p>
      <w:pPr>
        <w:pStyle w:val="Heading2"/>
      </w:pPr>
      <w:r>
        <w:t>References</w:t>
      </w:r>
    </w:p>
    <w:p>
      <w:pPr>
        <w:pStyle w:val="ListParagraph"/>
        <w:tabs>
          <w:tab w:pos="720" w:val="left"/>
        </w:tabs>
        <w:ind w:left="720" w:hanging="360"/>
      </w:pPr>
      <w:r>
        <w:t>1.</w:t>
        <w:tab/>
      </w:r>
      <w:r>
        <w:t>proof.pdf. Internal reference: file:26069#pages=1-2. Accessed 2026-09-26.</w:t>
      </w:r>
    </w:p>
    <w:p>
      <w:pPr>
        <w:pStyle w:val="ListParagraph"/>
        <w:tabs>
          <w:tab w:pos="720" w:val="left"/>
        </w:tabs>
        <w:ind w:left="720" w:hanging="360"/>
      </w:pPr>
      <w:r>
        <w:t>2.</w:t>
        <w:tab/>
      </w:r>
      <w:r>
        <w:t xml:space="preserve">deepchem - Online Tools. Retrieved 2026-09-26, from </w:t>
      </w:r>
      <w:hyperlink r:id="rId11">
        <w:r>
          <w:rPr>
            <w:color w:val="1F5132"/>
            <w:u w:val="single"/>
          </w:rPr>
          <w:t>https://tool.lu/en_US/skill/s/aMe</w:t>
        </w:r>
      </w:hyperlink>
    </w:p>
    <w:p>
      <w:pPr>
        <w:pStyle w:val="ListParagraph"/>
        <w:tabs>
          <w:tab w:pos="720" w:val="left"/>
        </w:tabs>
        <w:ind w:left="720" w:hanging="360"/>
      </w:pPr>
      <w:r>
        <w:t>3.</w:t>
        <w:tab/>
      </w:r>
      <w:r>
        <w:t xml:space="preserve">OCHEM Introduction. Retrieved 2026-09-26, from </w:t>
      </w:r>
      <w:hyperlink r:id="rId12">
        <w:r>
          <w:rPr>
            <w:color w:val="1F5132"/>
            <w:u w:val="single"/>
          </w:rPr>
          <w:t>https://docs.ochem.eu/x/AwBa.html</w:t>
        </w:r>
      </w:hyperlink>
    </w:p>
    <w:p>
      <w:pPr>
        <w:pStyle w:val="ListParagraph"/>
        <w:tabs>
          <w:tab w:pos="720" w:val="left"/>
        </w:tabs>
        <w:ind w:left="720" w:hanging="360"/>
      </w:pPr>
      <w:r>
        <w:t>4.</w:t>
        <w:tab/>
      </w:r>
      <w:r>
        <w:t>Dong J, Yao ZJ, Zhu MF, Wang NN, Lu B, Chen AF, Lu AP, Miao H, Zeng WB, Cao DS. ChemSAR: an online pipelining platform for molecular SAR modeling. J Cheminform. 2017;9(1):27. doi:10.1186/s13321-017-0215-1. PMID: 29086046.</w:t>
      </w:r>
    </w:p>
    <w:p>
      <w:pPr>
        <w:pStyle w:val="ListParagraph"/>
        <w:tabs>
          <w:tab w:pos="720" w:val="left"/>
        </w:tabs>
        <w:ind w:left="720" w:hanging="360"/>
      </w:pPr>
      <w:r>
        <w:t>5.</w:t>
        <w:tab/>
      </w:r>
      <w:r>
        <w:t xml:space="preserve">GitHub - CDDLeiden/QSPRpred: A tool for creating Quantitative Structure Property/Activity Relationship (QSPR/QSAR) models. Retrieved 2026-09-26, from </w:t>
      </w:r>
      <w:hyperlink r:id="rId14">
        <w:r>
          <w:rPr>
            <w:color w:val="1F5132"/>
            <w:u w:val="single"/>
          </w:rPr>
          <w:t>https://github.com/CDDLeiden/QSPRPred</w:t>
        </w:r>
      </w:hyperlink>
    </w:p>
    <w:p>
      <w:pPr>
        <w:pStyle w:val="ListParagraph"/>
        <w:tabs>
          <w:tab w:pos="720" w:val="left"/>
        </w:tabs>
        <w:ind w:left="720" w:hanging="360"/>
      </w:pPr>
      <w:r>
        <w:t>6.</w:t>
        <w:tab/>
      </w:r>
      <w:r>
        <w:t>van den Maagdenberg HW, Šícho M, Araripe DA, Luukkonen S, Schoenmaker L, Jespers M, Béquignon OJM, González MG, van den Broek RL, Bernatavicius A, van Hasselt JGC, van der Graaf PH, van Westen GJP. QSPRpred: a Flexible Open-Source Quantitative Structure-Property Relationship Modelling Tool. J Cheminform. 2024;16(1):128. doi:10.1186/s13321-024-00908-y. PMID: 39543652.</w:t>
      </w:r>
    </w:p>
    <w:p>
      <w:pPr>
        <w:pStyle w:val="ListParagraph"/>
        <w:tabs>
          <w:tab w:pos="720" w:val="left"/>
        </w:tabs>
        <w:ind w:left="720" w:hanging="360"/>
      </w:pPr>
      <w:r>
        <w:t>7.</w:t>
        <w:tab/>
      </w:r>
      <w:r>
        <w:t xml:space="preserve">ADMET-AI. Retrieved 2026-09-26, from </w:t>
      </w:r>
      <w:hyperlink r:id="rId16">
        <w:r>
          <w:rPr>
            <w:color w:val="1F5132"/>
            <w:u w:val="single"/>
          </w:rPr>
          <w:t>https://admet.ai.greenstonebio.com/</w:t>
        </w:r>
      </w:hyperlink>
    </w:p>
    <w:p>
      <w:pPr>
        <w:pStyle w:val="ListParagraph"/>
        <w:tabs>
          <w:tab w:pos="720" w:val="left"/>
        </w:tabs>
        <w:ind w:left="720" w:hanging="360"/>
      </w:pPr>
      <w:r>
        <w:t>8.</w:t>
        <w:tab/>
      </w:r>
      <w:r>
        <w:t xml:space="preserve">Benchmarking Open Access vs. Commercial ADMET Tools. Retrieved 2026-09-26, from </w:t>
      </w:r>
      <w:hyperlink r:id="rId17">
        <w:r>
          <w:rPr>
            <w:color w:val="1F5132"/>
            <w:u w:val="single"/>
          </w:rPr>
          <w:t>https://www.drugchemsci.com/posts/benchmarking-open-access-vs-commercial-admet-tools-a-2025-guide-for-drug-development</w:t>
        </w:r>
      </w:hyperlink>
    </w:p>
    <w:p>
      <w:pPr>
        <w:pStyle w:val="ListParagraph"/>
        <w:tabs>
          <w:tab w:pos="720" w:val="left"/>
        </w:tabs>
        <w:ind w:left="720" w:hanging="360"/>
      </w:pPr>
      <w:r>
        <w:t>9.</w:t>
        <w:tab/>
      </w:r>
      <w:r>
        <w:t>Koleiev I, Stratiichuk R, Shevchuk N, Melnychenko M, Nyporko A, Todoryshyn D, Husak V, Starosyla S, Yesylevskyy S, Nafiiev A. An End-User Audit of Reproducibility, Data Leakage, and Overfitting of the Top-Ranked ADMET Prediction Models in TDC Leaderboards. J Chem Inf Model. 2026;66(14):8045-8058. doi:10.1021/acs.jcim.6c00819. PMID: 42392971.</w:t>
      </w:r>
    </w:p>
    <w:p>
      <w:pPr>
        <w:pStyle w:val="ListParagraph"/>
        <w:tabs>
          <w:tab w:pos="720" w:val="left"/>
        </w:tabs>
        <w:ind w:left="720" w:hanging="360"/>
      </w:pPr>
      <w:r>
        <w:t>10.</w:t>
        <w:tab/>
      </w:r>
      <w:r>
        <w:t xml:space="preserve">jcheminform-author-guidelines. Retrieved 2026-09-26, from </w:t>
      </w:r>
      <w:hyperlink r:id="rId19">
        <w:r>
          <w:rPr>
            <w:color w:val="1F5132"/>
            <w:u w:val="single"/>
          </w:rPr>
          <w:t>https://jcheminform.github.io/jcheminform-author-guidelines/guidelines/software.html</w:t>
        </w:r>
      </w:hyperlink>
    </w:p>
    <w:p>
      <w:pPr>
        <w:pStyle w:val="ListParagraph"/>
        <w:tabs>
          <w:tab w:pos="720" w:val="left"/>
        </w:tabs>
        <w:ind w:left="720" w:hanging="360"/>
      </w:pPr>
      <w:r>
        <w:t>11.</w:t>
        <w:tab/>
      </w:r>
      <w:r>
        <w:t xml:space="preserve">Journal of Cheminformatics | Springer Nature Link. [bibliographic details unresolved] </w:t>
      </w:r>
      <w:hyperlink r:id="rId20">
        <w:r>
          <w:rPr>
            <w:color w:val="1F5132"/>
            <w:u w:val="single"/>
          </w:rPr>
          <w:t>https://link.springer.com/journal/13321</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before="0" w:after="0" w:line="240" w:lineRule="auto"/>
    </w:pPr>
    <w:r>
      <w:drawing>
        <wp:inline distT="0" distB="0" distL="0" distR="0">
          <wp:extent cx="76200" cy="76200"/>
          <wp:effectExtent l="0" t="0" r="0" b="0"/>
          <wp:docPr id="1" name="HC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CLogo"/>
                  <pic:cNvPicPr/>
                </pic:nvPicPr>
                <pic:blipFill>
                  <a:blip r:embed="rId1"/>
                  <a:stretch>
                    <a:fillRect/>
                  </a:stretch>
                </pic:blipFill>
                <pic:spPr>
                  <a:xfrm>
                    <a:off x="0" y="0"/>
                    <a:ext cx="76200" cy="76200"/>
                  </a:xfrm>
                  <a:prstGeom prst="rect">
                    <a:avLst/>
                  </a:prstGeom>
                </pic:spPr>
              </pic:pic>
            </a:graphicData>
          </a:graphic>
        </wp:inline>
      </w:drawing>
    </w:r>
    <w:r>
      <w:rPr>
        <w:rFonts w:ascii="Calibri" w:cs="Calibri" w:eastAsia="Calibri" w:hAnsi="Calibri"/>
        <w:color w:val="5A5A5A"/>
        <w:sz w:val="16"/>
        <w:szCs w:val="16"/>
      </w:rPr>
      <w:t xml:space="preserve">  </w:t>
    </w:r>
    <w:r>
      <w:rPr>
        <w:rFonts w:ascii="Calibri" w:cs="Calibri" w:eastAsia="Calibri" w:hAnsi="Calibri"/>
        <w:color w:val="5A5A5A"/>
        <w:sz w:val="16"/>
        <w:szCs w:val="16"/>
      </w:rPr>
      <w:t xml:space="preserve">Generated by Human Chemical · 2026</w:t>
    </w:r>
    <w:r>
      <w:rPr>
        <w:rFonts w:ascii="Calibri" w:cs="Calibri" w:eastAsia="Calibri" w:hAnsi="Calibri"/>
        <w:color w:val="5A5A5A"/>
        <w:sz w:val="16"/>
        <w:szCs w:val="16"/>
      </w:rPr>
      <w:tab/>
    </w:r>
    <w:r>
      <w:rPr>
        <w:rFonts w:ascii="Calibri" w:cs="Calibri" w:eastAsia="Calibri" w:hAnsi="Calibri"/>
        <w:color w:val="5A5A5A"/>
        <w:sz w:val="16"/>
        <w:szCs w:val="16"/>
      </w:rPr>
      <w:fldChar w:fldCharType="begin"/>
    </w:r>
    <w:r>
      <w:rPr>
        <w:rFonts w:ascii="Calibri" w:cs="Calibri" w:eastAsia="Calibri" w:hAnsi="Calibri"/>
        <w:color w:val="5A5A5A"/>
        <w:sz w:val="16"/>
        <w:szCs w:val="16"/>
      </w:rPr>
      <w:instrText xml:space="preserve"> PAGE </w:instrText>
    </w:r>
    <w:r>
      <w:rPr>
        <w:rFonts w:ascii="Calibri" w:cs="Calibri" w:eastAsia="Calibri" w:hAnsi="Calibri"/>
        <w:color w:val="5A5A5A"/>
        <w:sz w:val="16"/>
        <w:szCs w:val="16"/>
      </w:rPr>
      <w:fldChar w:fldCharType="separate"/>
    </w:r>
    <w:r>
      <w:rPr>
        <w:rFonts w:ascii="Calibri" w:cs="Calibri" w:eastAsia="Calibri" w:hAnsi="Calibri"/>
        <w:color w:val="5A5A5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color w:val="171717"/>
        <w:sz w:val="20"/>
        <w:szCs w:val="20"/>
      </w:rPr>
    </w:lvl>
    <w:lvl w:ilvl="1" w15:tentative="1">
      <w:start w:val="1"/>
      <w:numFmt w:val="bullet"/>
      <w:lvlText w:val="–"/>
      <w:lvlJc w:val="left"/>
      <w:pPr>
        <w:ind w:left="1440" w:hanging="360"/>
      </w:pPr>
      <w:rPr>
        <w:rFonts w:ascii="Georgia" w:cs="Georgia" w:eastAsia="Georgia" w:hAnsi="Georgia"/>
        <w:color w:val="171717"/>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Georgia" w:cs="Georgia" w:eastAsia="Georgia" w:hAnsi="Georgia"/>
        <w:color w:val="171717"/>
        <w:sz w:val="20"/>
        <w:szCs w:val="20"/>
      </w:rPr>
    </w:lvl>
    <w:lvl w:ilvl="1" w15:tentative="1">
      <w:start w:val="1"/>
      <w:numFmt w:val="lowerLetter"/>
      <w:lvlText w:val="%2."/>
      <w:lvlJc w:val="left"/>
      <w:pPr>
        <w:ind w:left="1440" w:hanging="360"/>
      </w:pPr>
      <w:rPr>
        <w:rFonts w:ascii="Georgia" w:cs="Georgia" w:eastAsia="Georgia" w:hAnsi="Georgia"/>
        <w:color w:val="171717"/>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w="http://schemas.openxmlformats.org/wordprocessingml/2006/main"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71717"/>
        <w:sz w:val="20"/>
        <w:szCs w:val="20"/>
      </w:rPr>
    </w:rPrDefault>
    <w:pPrDefault>
      <w:pPr>
        <w:spacing w:line="380" w:lineRule="exact"/>
      </w:pPr>
    </w:pPrDefault>
  </w:docDefaults>
  <w:style w:type="paragraph" w:styleId="Title">
    <w:name w:val="Title"/>
    <w:basedOn w:val="Normal"/>
    <w:next w:val="Normal"/>
    <w:qFormat/>
    <w:pPr>
      <w:keepNext/>
      <w:keepLines/>
    </w:pPr>
    <w:rPr>
      <w:rFonts w:ascii="Arial" w:hAnsi="Arial" w:cs="Arial" w:eastAsia="Arial"/>
      <w:b/>
      <w:color w:val="1F5132"/>
      <w:sz w:val="44"/>
      <w:szCs w:val="40"/>
    </w:rPr>
  </w:style>
  <w:style w:type="paragraph" w:styleId="Heading1">
    <w:name w:val="heading 1"/>
    <w:basedOn w:val="Normal"/>
    <w:next w:val="Normal"/>
    <w:qFormat/>
    <w:pPr>
      <w:keepNext/>
      <w:keepLines/>
      <w:pBdr>
        <w:bottom w:val="single" w:sz="8" w:space="4" w:color="1F5132"/>
      </w:pBdr>
      <w:spacing w:before="280" w:after="160"/>
    </w:pPr>
    <w:rPr>
      <w:rFonts w:ascii="Arial" w:hAnsi="Arial" w:cs="Arial" w:eastAsia="Arial"/>
      <w:b/>
      <w:color w:val="1F5132"/>
      <w:sz w:val="30"/>
      <w:szCs w:val="28"/>
    </w:rPr>
  </w:style>
  <w:style w:type="paragraph" w:styleId="Heading2">
    <w:name w:val="heading 2"/>
    <w:basedOn w:val="Normal"/>
    <w:next w:val="Normal"/>
    <w:qFormat/>
    <w:pPr>
      <w:keepNext/>
      <w:keepLines/>
      <w:spacing w:before="220" w:after="120"/>
    </w:pPr>
    <w:rPr>
      <w:rFonts w:ascii="Arial" w:hAnsi="Arial" w:cs="Arial" w:eastAsia="Arial"/>
      <w:b/>
      <w:color w:val="1A1A1A"/>
      <w:sz w:val="25"/>
      <w:szCs w:val="24"/>
    </w:rPr>
  </w:style>
  <w:style w:type="paragraph" w:styleId="Heading3">
    <w:name w:val="heading 3"/>
    <w:basedOn w:val="Normal"/>
    <w:next w:val="Normal"/>
    <w:qFormat/>
    <w:pPr>
      <w:keepNext/>
      <w:keepLines/>
      <w:spacing w:before="160" w:after="80"/>
    </w:pPr>
    <w:rPr>
      <w:rFonts w:ascii="Arial" w:hAnsi="Arial" w:cs="Arial" w:eastAsia="Arial"/>
      <w:b/>
      <w:color w:val="1F5132"/>
      <w:sz w:val="22"/>
      <w:szCs w:val="22"/>
    </w:rPr>
  </w:style>
  <w:style w:type="paragraph" w:styleId="Heading4">
    <w:name w:val="heading 4"/>
    <w:basedOn w:val="Normal"/>
    <w:next w:val="Normal"/>
    <w:qFormat/>
    <w:pPr>
      <w:keepNext/>
      <w:keepLines/>
    </w:pPr>
    <w:rPr>
      <w:b/>
      <w:i/>
      <w:iCs/>
      <w:color w:val="171717"/>
    </w:rPr>
  </w:style>
  <w:style w:type="paragraph" w:styleId="Heading5">
    <w:name w:val="heading 5"/>
    <w:basedOn w:val="Normal"/>
    <w:next w:val="Normal"/>
    <w:qFormat/>
    <w:pPr>
      <w:keepNext/>
      <w:keepLines/>
    </w:pPr>
    <w:rPr>
      <w:b/>
      <w:color w:val="171717"/>
    </w:rPr>
  </w:style>
  <w:style w:type="paragraph" w:styleId="Heading6">
    <w:name w:val="heading 6"/>
    <w:basedOn w:val="Normal"/>
    <w:next w:val="Normal"/>
    <w:qFormat/>
    <w:pPr>
      <w:keepNext/>
      <w:keepLines/>
    </w:pPr>
    <w:rPr>
      <w:b/>
      <w:color w:val="171717"/>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F5132"/>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40" w:line="276" w:lineRule="auto"/>
      <w:widowControl/>
    </w:pPr>
    <w:rPr>
      <w:rFonts w:ascii="Arial" w:cs="Arial" w:eastAsia="Arial" w:hAnsi="Arial"/>
      <w:color w:val="1A1A1A"/>
      <w:sz w:val="21"/>
      <w:szCs w:val="20"/>
    </w:rPr>
  </w:style>
  <w:style w:type="paragraph" w:styleId="Quote">
    <w:name w:val="Quote"/>
    <w:basedOn w:val="Normal"/>
    <w:next w:val="Normal"/>
    <w:qFormat/>
    <w:pPr>
      <w:pBdr>
        <w:left w:val="single" w:color="E8E8E8" w:sz="12" w:space="8"/>
      </w:pBdr>
      <w:spacing w:after="120" w:before="120" w:line="380" w:lineRule="exact"/>
      <w:ind w:left="480"/>
    </w:pPr>
    <w:rPr>
      <w:rFonts w:ascii="Arial" w:cs="Arial" w:eastAsia="Arial" w:hAnsi="Arial"/>
      <w:i w:val="false"/>
      <w:iCs w:val="false"/>
      <w:color w:val="5A6470"/>
      <w:sz w:val="20"/>
      <w:szCs w:val="20"/>
    </w:rPr>
  </w:style>
  <w:style w:type="paragraph" w:styleId="TableHeader">
    <w:name w:val="Table Header"/>
    <w:basedOn w:val="Normal"/>
    <w:qFormat/>
    <w:pPr>
      <w:spacing w:after="40" w:before="40" w:line="240" w:lineRule="auto"/>
    </w:pPr>
    <w:rPr>
      <w:rFonts w:ascii="Arial" w:cs="Arial" w:eastAsia="Arial" w:hAnsi="Arial"/>
      <w:b/>
      <w:bCs/>
      <w:color w:val="FFFFFF"/>
      <w:sz w:val="20"/>
      <w:szCs w:val="17"/>
    </w:rPr>
  </w:style>
  <w:style w:type="paragraph" w:styleId="TableBody">
    <w:name w:val="Table Body"/>
    <w:basedOn w:val="Normal"/>
    <w:qFormat/>
    <w:pPr>
      <w:spacing w:after="40" w:before="40" w:line="260" w:lineRule="auto"/>
    </w:pPr>
    <w:rPr>
      <w:rFonts w:ascii="Arial" w:cs="Arial" w:eastAsia="Arial" w:hAnsi="Arial"/>
      <w:color w:val="1A1A1A"/>
      <w:sz w:val="20"/>
      <w:szCs w:val="20"/>
    </w:rPr>
  </w:style>
  <w:style w:type="paragraph" w:styleId="CodeBlock">
    <w:name w:val="Code Block"/>
    <w:basedOn w:val="Normal"/>
    <w:qFormat/>
    <w:pPr>
      <w:spacing w:after="80" w:before="80" w:line="260" w:lineRule="auto"/>
    </w:pPr>
    <w:rPr>
      <w:rFonts w:ascii="Courier New" w:cs="Courier New" w:eastAsia="Courier New" w:hAnsi="Courier New"/>
      <w:color w:val="171717"/>
      <w:sz w:val="18"/>
      <w:szCs w:val="18"/>
    </w:rPr>
  </w:style>
  <w:style w:type="character" w:styleId="InlineCode">
    <w:name w:val="Inline Code"/>
    <w:uiPriority w:val="99"/>
    <w:unhideWhenUsed/>
    <w:rPr>
      <w:rFonts w:ascii="Courier New" w:cs="Courier New" w:eastAsia="Courier New" w:hAnsi="Courier New"/>
      <w:color w:val="171717"/>
      <w:sz w:val="18"/>
      <w:szCs w:val="18"/>
      <w:shd w:fill="F2F1F0" w:val="clea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yperlink" Target="file:26069#pages=1-2" TargetMode="External"/><Relationship Id="rId11" Type="http://schemas.openxmlformats.org/officeDocument/2006/relationships/hyperlink" Target="https://tool.lu/en_US/skill/s/aMe" TargetMode="External"/><Relationship Id="rId12" Type="http://schemas.openxmlformats.org/officeDocument/2006/relationships/hyperlink" Target="https://docs.ochem.eu/x/AwBa.html" TargetMode="External"/><Relationship Id="rId13" Type="http://schemas.openxmlformats.org/officeDocument/2006/relationships/hyperlink" Target="https://pmc.ncbi.nlm.nih.gov/articles/PMC5418185/" TargetMode="External"/><Relationship Id="rId14" Type="http://schemas.openxmlformats.org/officeDocument/2006/relationships/hyperlink" Target="https://github.com/CDDLeiden/QSPRPred" TargetMode="External"/><Relationship Id="rId15" Type="http://schemas.openxmlformats.org/officeDocument/2006/relationships/hyperlink" Target="https://pmc.ncbi.nlm.nih.gov/articles/PMC11566221/" TargetMode="External"/><Relationship Id="rId16" Type="http://schemas.openxmlformats.org/officeDocument/2006/relationships/hyperlink" Target="https://admet.ai.greenstonebio.com/" TargetMode="External"/><Relationship Id="rId17" Type="http://schemas.openxmlformats.org/officeDocument/2006/relationships/hyperlink" Target="https://www.drugchemsci.com/posts/benchmarking-open-access-vs-commercial-admet-tools-a-2025-guide-for-drug-development" TargetMode="External"/><Relationship Id="rId18" Type="http://schemas.openxmlformats.org/officeDocument/2006/relationships/hyperlink" Target="https://pmc.ncbi.nlm.nih.gov/articles/PMC13417885/" TargetMode="External"/><Relationship Id="rId19" Type="http://schemas.openxmlformats.org/officeDocument/2006/relationships/hyperlink" Target="https://jcheminform.github.io/jcheminform-author-guidelines/guidelines/software.html" TargetMode="External"/><Relationship Id="rId20" Type="http://schemas.openxmlformats.org/officeDocument/2006/relationships/hyperlink" Target="https://link.springer.com/journal/13321" TargetMode="External"/><Relationship Id="rId21" Type="http://schemas.openxmlformats.org/officeDocument/2006/relationships/hyperlink" Target="https://github.com/ScottCoffin/QSARen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logo-footer.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2026-03-05T17:19:21.096Z</dcterms:created>
  <dcterms:modified xsi:type="dcterms:W3CDTF">2026-03-05T17:19:21.096Z</dcterms:modified>
</cp:coreProperties>
</file>

<file path=docProps/custom.xml><?xml version="1.0" encoding="utf-8"?>
<Properties xmlns="http://schemas.openxmlformats.org/officeDocument/2006/custom-properties" xmlns:vt="http://schemas.openxmlformats.org/officeDocument/2006/docPropsVTypes"/>
</file>