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2FC3D" w14:textId="77777777" w:rsidR="007C6891" w:rsidRDefault="004A17CB">
      <w:pPr>
        <w:pStyle w:val="Heading1"/>
      </w:pPr>
      <w:r>
        <w:t>Competitive Positioning &amp; Product-Landscape Review</w:t>
      </w:r>
    </w:p>
    <w:p w14:paraId="2C236164" w14:textId="77777777" w:rsidR="007C6891" w:rsidRDefault="004A17CB">
      <w:r>
        <w:rPr>
          <w:b/>
        </w:rPr>
        <w:t>Companion to:</w:t>
      </w:r>
      <w:r>
        <w:t xml:space="preserve"> </w:t>
      </w:r>
      <w:r>
        <w:rPr>
          <w:i/>
        </w:rPr>
        <w:t>No Single Architecture Wins…</w:t>
      </w:r>
      <w:r>
        <w:t xml:space="preserve"> (AutoQSAR manuscript, single author, California OEHHA)</w:t>
      </w:r>
      <w:r>
        <w:rPr>
          <w:b/>
        </w:rPr>
        <w:t>Purpose:</w:t>
      </w:r>
      <w:r>
        <w:t xml:space="preserve"> an independent scoping of where this package sits in the existing tool ecosystem, to answer one question a </w:t>
      </w:r>
      <w:r>
        <w:rPr>
          <w:i/>
        </w:rPr>
        <w:t>Journal of Cheminformatics</w:t>
      </w:r>
      <w:r>
        <w:t xml:space="preserve"> reviewer will certainly ask — </w:t>
      </w:r>
      <w:r>
        <w:rPr>
          <w:b/>
        </w:rPr>
        <w:t>does this tool add significant value in a crowded space?</w:t>
      </w:r>
      <w:r>
        <w:t xml:space="preserve"> — and to supply a ready-to-insert competitor comparison table for the manuscript.</w:t>
      </w:r>
      <w:r>
        <w:rPr>
          <w:b/>
        </w:rPr>
        <w:t>Scope note:</w:t>
      </w:r>
      <w:r>
        <w:t xml:space="preserve"> functionality claims about competitors are drawn from their primary papers, repositories, and vendor materials; performance claims are limited to what each tool has </w:t>
      </w:r>
      <w:r>
        <w:rPr>
          <w:i/>
        </w:rPr>
        <w:t>published</w:t>
      </w:r>
      <w:r>
        <w:t xml:space="preserve"> on comparable benchmarks (chiefly the TDC ADMET group). This is a positioning review, not a re-review of the manuscript's internal methods.</w:t>
      </w:r>
    </w:p>
    <w:p w14:paraId="645BF9C4" w14:textId="77777777" w:rsidR="007C6891" w:rsidRDefault="004A17CB">
      <w:pPr>
        <w:pStyle w:val="Quote"/>
      </w:pPr>
      <w:r>
        <w:rPr>
          <w:b/>
        </w:rPr>
        <w:t>Accuracy note (this version):</w:t>
      </w:r>
      <w:r>
        <w:t xml:space="preserve"> an earlier draft of this document juxtaposed "ADMET-AI holds the top TDC average rank" with "the package is mid-pack" in a way that implied a measured head-to-head defeat. </w:t>
      </w:r>
      <w:r>
        <w:rPr>
          <w:b/>
        </w:rPr>
        <w:t>That comparison does not exist in the manuscript and should not be stated.</w:t>
      </w:r>
      <w:r>
        <w:t xml:space="preserve"> The wording has been corrected throughout, and §2a now sets out the ADMET-AI relationship precisely.</w:t>
      </w:r>
    </w:p>
    <w:p w14:paraId="3789B623" w14:textId="77777777" w:rsidR="007C6891" w:rsidRDefault="007C6891">
      <w:pPr>
        <w:pBdr>
          <w:bottom w:val="single" w:sz="6" w:space="1" w:color="auto"/>
        </w:pBdr>
      </w:pPr>
    </w:p>
    <w:p w14:paraId="391D1FB4" w14:textId="77777777" w:rsidR="007C6891" w:rsidRDefault="004A17CB">
      <w:pPr>
        <w:pStyle w:val="Heading2"/>
      </w:pPr>
      <w:r>
        <w:t>1. Executive verdict</w:t>
      </w:r>
    </w:p>
    <w:p w14:paraId="2D55FEB4" w14:textId="77777777" w:rsidR="007C6891" w:rsidRDefault="004A17CB">
      <w:r>
        <w:rPr>
          <w:b/>
        </w:rPr>
        <w:t>The package has real but bounded value.</w:t>
      </w:r>
      <w:r>
        <w:t xml:space="preserve"> Its defensible niche is being the </w:t>
      </w:r>
      <w:r>
        <w:rPr>
          <w:b/>
        </w:rPr>
        <w:t>broadest open, code-free, cross-suite, leakage-controlled benchmarking-and-modeling workbench</w:t>
      </w:r>
      <w:r>
        <w:t xml:space="preserve"> — combined with a </w:t>
      </w:r>
      <w:r>
        <w:rPr>
          <w:b/>
        </w:rPr>
        <w:t>scientific finding</w:t>
      </w:r>
      <w:r>
        <w:t xml:space="preserve"> (architecture choice does not dominate; test-set model selection inflates apparent rank). It is </w:t>
      </w:r>
      <w:r>
        <w:rPr>
          <w:b/>
        </w:rPr>
        <w:t>not</w:t>
      </w:r>
      <w:r>
        <w:t xml:space="preserve"> differentiated on accuracy, and — importantly — the paper does </w:t>
      </w:r>
      <w:r>
        <w:rPr>
          <w:b/>
        </w:rPr>
        <w:t>not</w:t>
      </w:r>
      <w:r>
        <w:t xml:space="preserve"> establish how its accuracy compares head-to-head with the leading open tool (ADMET-AI), because no like-for-like comparison was run and its own ADMET-AI-equivalent path largely failed (§2a). It is also </w:t>
      </w:r>
      <w:r>
        <w:rPr>
          <w:b/>
        </w:rPr>
        <w:t>not</w:t>
      </w:r>
      <w:r>
        <w:t xml:space="preserve"> uniquely differentiated on any single feature — AutoML, retraining, code-free UI, TDC benchmarking, ensembles, and 3D-pretrained models each already exist in at least one competitor. What no single existing tool offers is </w:t>
      </w:r>
      <w:r>
        <w:rPr>
          <w:b/>
        </w:rPr>
        <w:t>all of these together, across five suites and seven architecture families, in one open pipeline that runs on a laptop.</w:t>
      </w:r>
    </w:p>
    <w:p w14:paraId="57190FB6" w14:textId="77777777" w:rsidR="007C6891" w:rsidRDefault="004A17CB">
      <w:r>
        <w:rPr>
          <w:b/>
        </w:rPr>
        <w:t>Implication for the paper:</w:t>
      </w:r>
      <w:r>
        <w:t xml:space="preserve"> reposition from "our tool performs well" to "a unifying benchmarking framework + an empirical result." Left as a performance claim, the work invites the reply: </w:t>
      </w:r>
      <w:r>
        <w:rPr>
          <w:i/>
        </w:rPr>
        <w:t>"So do ADMET-AI, MapLight, MaxQsaring, and DeepAutoQSAR — several with multi-seed evidence the manuscript lacks."</w:t>
      </w:r>
    </w:p>
    <w:p w14:paraId="777CAE87" w14:textId="77777777" w:rsidR="007C6891" w:rsidRDefault="007C6891">
      <w:pPr>
        <w:pBdr>
          <w:bottom w:val="single" w:sz="6" w:space="1" w:color="auto"/>
        </w:pBdr>
      </w:pPr>
    </w:p>
    <w:p w14:paraId="05406316" w14:textId="77777777" w:rsidR="007C6891" w:rsidRDefault="004A17CB">
      <w:pPr>
        <w:pStyle w:val="Heading2"/>
      </w:pPr>
      <w:r>
        <w:t>2. Directly-comparable open-source tools</w:t>
      </w:r>
    </w:p>
    <w:p w14:paraId="12260827" w14:textId="77777777" w:rsidR="007C6891" w:rsidRDefault="004A17CB">
      <w:r>
        <w:t>The closest peer group is the open AutoML/QSAR cluster. Key findings:</w:t>
      </w:r>
    </w:p>
    <w:p w14:paraId="58138CBE" w14:textId="77777777" w:rsidR="007C6891" w:rsidRDefault="004A17CB">
      <w:pPr>
        <w:pStyle w:val="ListParagraph"/>
        <w:tabs>
          <w:tab w:val="left" w:pos="720"/>
        </w:tabs>
        <w:ind w:left="720" w:hanging="360"/>
      </w:pPr>
      <w:r>
        <w:t>•</w:t>
      </w:r>
      <w:r>
        <w:tab/>
      </w:r>
      <w:r>
        <w:rPr>
          <w:b/>
        </w:rPr>
        <w:t>ADMET-AI</w:t>
      </w:r>
      <w:r>
        <w:t xml:space="preserve"> is the reference open tool: its 2024 paper reports the highest average rank on the TDC ADMET Leaderboard, using a single Chemprop-RDKit GNN architecture trained on 41 TDC ADMET datasets. </w:t>
      </w:r>
      <w:hyperlink r:id="rId7">
        <w:r>
          <w:rPr>
            <w:b/>
            <w:color w:val="1F5132"/>
            <w:position w:val="7"/>
            <w:sz w:val="18"/>
            <w:szCs w:val="18"/>
          </w:rPr>
          <w:t>1</w:t>
        </w:r>
      </w:hyperlink>
      <w:r>
        <w:t xml:space="preserve"> This is a </w:t>
      </w:r>
      <w:r>
        <w:rPr>
          <w:b/>
        </w:rPr>
        <w:t>self-reported average-rank claim at time of publication</w:t>
      </w:r>
      <w:r>
        <w:t xml:space="preserve">, not a current or per-endpoint supremacy — on individual endpoints it is routinely beaten (e.g., MapLight is top-3 on 16 of 22 </w:t>
      </w:r>
      <w:hyperlink r:id="rId8">
        <w:r>
          <w:rPr>
            <w:b/>
            <w:color w:val="1F5132"/>
            <w:position w:val="7"/>
            <w:sz w:val="18"/>
            <w:szCs w:val="18"/>
          </w:rPr>
          <w:t>2</w:t>
        </w:r>
      </w:hyperlink>
      <w:r>
        <w:t xml:space="preserve"> and MaxQsaring is first on 19 of 22 </w:t>
      </w:r>
      <w:r>
        <w:lastRenderedPageBreak/>
        <w:t xml:space="preserve">TDC tasks </w:t>
      </w:r>
      <w:hyperlink r:id="rId9">
        <w:r>
          <w:rPr>
            <w:b/>
            <w:color w:val="1F5132"/>
            <w:position w:val="7"/>
            <w:sz w:val="18"/>
            <w:szCs w:val="18"/>
          </w:rPr>
          <w:t>3</w:t>
        </w:r>
      </w:hyperlink>
      <w:r>
        <w:t xml:space="preserve">). It is near-code-free (web + CLI) but </w:t>
      </w:r>
      <w:r>
        <w:rPr>
          <w:b/>
        </w:rPr>
        <w:t>single-architecture</w:t>
      </w:r>
      <w:r>
        <w:t xml:space="preserve"> and </w:t>
      </w:r>
      <w:r>
        <w:rPr>
          <w:b/>
        </w:rPr>
        <w:t>single-suite</w:t>
      </w:r>
      <w:r>
        <w:t xml:space="preserve">. The manuscript frames it as non-retrainable, but that is only true of the web interface — the open-source ADMET-AI repository contains training (not just prediction) scripts for Chemprop models on TDC ADMET data, </w:t>
      </w:r>
      <w:hyperlink r:id="rId10">
        <w:r>
          <w:rPr>
            <w:b/>
            <w:color w:val="1F5132"/>
            <w:position w:val="7"/>
            <w:sz w:val="18"/>
            <w:szCs w:val="18"/>
          </w:rPr>
          <w:t>4</w:t>
        </w:r>
      </w:hyperlink>
      <w:r>
        <w:t xml:space="preserve"> so "retrainable" is a weaker differentiator than the manuscript implies. See §2a for the precise relationship to this package.</w:t>
      </w:r>
    </w:p>
    <w:p w14:paraId="010B474B" w14:textId="77777777" w:rsidR="007C6891" w:rsidRDefault="004A17CB">
      <w:pPr>
        <w:pStyle w:val="ListParagraph"/>
        <w:tabs>
          <w:tab w:val="left" w:pos="720"/>
        </w:tabs>
        <w:ind w:left="720" w:hanging="360"/>
      </w:pPr>
      <w:r>
        <w:t>•</w:t>
      </w:r>
      <w:r>
        <w:tab/>
      </w:r>
      <w:r>
        <w:rPr>
          <w:b/>
        </w:rPr>
        <w:t>QSARtuna</w:t>
      </w:r>
      <w:r>
        <w:t xml:space="preserve"> (AstraZeneca) is a mature open AutoML pipeline: an automated QSAR modeling pipeline in Python using Optuna, scikit-learn, RDKit and ChemProp that automates comparison between molecular representations and ML models, with uncertainty quantification and explainability by design. </w:t>
      </w:r>
      <w:hyperlink r:id="rId11">
        <w:r>
          <w:rPr>
            <w:b/>
            <w:color w:val="1F5132"/>
            <w:position w:val="7"/>
            <w:sz w:val="18"/>
            <w:szCs w:val="18"/>
          </w:rPr>
          <w:t>5</w:t>
        </w:r>
      </w:hyperlink>
      <w:r>
        <w:t xml:space="preserve"> It publishes </w:t>
      </w:r>
      <w:r>
        <w:rPr>
          <w:b/>
        </w:rPr>
        <w:t>no TDC leaderboard benchmark</w:t>
      </w:r>
      <w:r>
        <w:t xml:space="preserve"> (illustrative examples only), and is CLI/code rather than code-free.</w:t>
      </w:r>
    </w:p>
    <w:p w14:paraId="28BABBCC" w14:textId="77777777" w:rsidR="007C6891" w:rsidRDefault="004A17CB">
      <w:pPr>
        <w:pStyle w:val="ListParagraph"/>
        <w:tabs>
          <w:tab w:val="left" w:pos="720"/>
        </w:tabs>
        <w:ind w:left="720" w:hanging="360"/>
      </w:pPr>
      <w:r>
        <w:t>•</w:t>
      </w:r>
      <w:r>
        <w:tab/>
      </w:r>
      <w:r>
        <w:rPr>
          <w:b/>
        </w:rPr>
        <w:t>QSPRpred</w:t>
      </w:r>
      <w:r>
        <w:t xml:space="preserve"> (Leiden) is a flexible open QSPR toolkit — published in J. Cheminform. 2024 (16:128) as a toolkit for analysis of bioactivity datasets and QSPR modelling. </w:t>
      </w:r>
      <w:hyperlink r:id="rId12">
        <w:r>
          <w:rPr>
            <w:b/>
            <w:color w:val="1F5132"/>
            <w:position w:val="7"/>
            <w:sz w:val="18"/>
            <w:szCs w:val="18"/>
          </w:rPr>
          <w:t>6</w:t>
        </w:r>
      </w:hyperlink>
      <w:r>
        <w:t xml:space="preserve"> Framework-oriented; not a leaderboard submission.</w:t>
      </w:r>
    </w:p>
    <w:p w14:paraId="1EC359C1" w14:textId="77777777" w:rsidR="007C6891" w:rsidRDefault="004A17CB">
      <w:pPr>
        <w:pStyle w:val="ListParagraph"/>
        <w:tabs>
          <w:tab w:val="left" w:pos="720"/>
        </w:tabs>
        <w:ind w:left="720" w:hanging="360"/>
      </w:pPr>
      <w:r>
        <w:t>•</w:t>
      </w:r>
      <w:r>
        <w:tab/>
      </w:r>
      <w:r>
        <w:rPr>
          <w:b/>
        </w:rPr>
        <w:t>ZairaChem</w:t>
      </w:r>
      <w:r>
        <w:t xml:space="preserve"> (Ersilia) is the closest open "AutoML that benchmarks on TDC": out-of-the-box, ZairaChem showed state-of-the-art performance on the TDC ADMET binary classification tasks, </w:t>
      </w:r>
      <w:hyperlink r:id="rId13">
        <w:r>
          <w:rPr>
            <w:b/>
            <w:color w:val="1F5132"/>
            <w:position w:val="7"/>
            <w:sz w:val="18"/>
            <w:szCs w:val="18"/>
          </w:rPr>
          <w:t>7</w:t>
        </w:r>
      </w:hyperlink>
      <w:r>
        <w:t xml:space="preserve"> but its TDC benchmarking is restricted to classification tasks only. </w:t>
      </w:r>
      <w:hyperlink r:id="rId14">
        <w:r>
          <w:rPr>
            <w:b/>
            <w:color w:val="1F5132"/>
            <w:position w:val="7"/>
            <w:sz w:val="18"/>
            <w:szCs w:val="18"/>
          </w:rPr>
          <w:t>8</w:t>
        </w:r>
      </w:hyperlink>
      <w:r>
        <w:t xml:space="preserve"> It is CLI, GPL-3.0, and adds model distillation.</w:t>
      </w:r>
    </w:p>
    <w:p w14:paraId="4756FB85" w14:textId="77777777" w:rsidR="007C6891" w:rsidRDefault="004A17CB">
      <w:pPr>
        <w:pStyle w:val="ListParagraph"/>
        <w:tabs>
          <w:tab w:val="left" w:pos="720"/>
        </w:tabs>
        <w:ind w:left="720" w:hanging="360"/>
      </w:pPr>
      <w:r>
        <w:t>•</w:t>
      </w:r>
      <w:r>
        <w:tab/>
      </w:r>
      <w:r>
        <w:rPr>
          <w:b/>
        </w:rPr>
        <w:t>DeepMol</w:t>
      </w:r>
      <w:r>
        <w:t xml:space="preserve"> delivers competitive AutoML pipelines across 22 TDC benchmark datasets, </w:t>
      </w:r>
      <w:hyperlink r:id="rId15">
        <w:r>
          <w:rPr>
            <w:b/>
            <w:color w:val="1F5132"/>
            <w:position w:val="7"/>
            <w:sz w:val="18"/>
            <w:szCs w:val="18"/>
          </w:rPr>
          <w:t>9</w:t>
        </w:r>
      </w:hyperlink>
      <w:r>
        <w:t xml:space="preserve"> and </w:t>
      </w:r>
      <w:r>
        <w:rPr>
          <w:b/>
        </w:rPr>
        <w:t>DeepPurpose</w:t>
      </w:r>
      <w:r>
        <w:t xml:space="preserve"> offers 15 compound/protein encoders and 50+ neural architectures invokable in a single line of code, </w:t>
      </w:r>
      <w:hyperlink r:id="rId16">
        <w:r>
          <w:rPr>
            <w:b/>
            <w:color w:val="1F5132"/>
            <w:position w:val="7"/>
            <w:sz w:val="18"/>
            <w:szCs w:val="18"/>
          </w:rPr>
          <w:t>10</w:t>
        </w:r>
      </w:hyperlink>
      <w:r>
        <w:t xml:space="preserve"> though it is DTI-centric and used mainly as TDC </w:t>
      </w:r>
      <w:r>
        <w:rPr>
          <w:i/>
        </w:rPr>
        <w:t>baselines</w:t>
      </w:r>
      <w:r>
        <w:t xml:space="preserve"> rather than a leading submission.</w:t>
      </w:r>
    </w:p>
    <w:p w14:paraId="6EFBFA90" w14:textId="77777777" w:rsidR="007C6891" w:rsidRDefault="004A17CB">
      <w:pPr>
        <w:pStyle w:val="ListParagraph"/>
        <w:tabs>
          <w:tab w:val="left" w:pos="720"/>
        </w:tabs>
        <w:ind w:left="720" w:hanging="360"/>
      </w:pPr>
      <w:r>
        <w:t>•</w:t>
      </w:r>
      <w:r>
        <w:tab/>
      </w:r>
      <w:r>
        <w:rPr>
          <w:b/>
        </w:rPr>
        <w:t>ChemXploreML</w:t>
      </w:r>
      <w:r>
        <w:t xml:space="preserve"> is the only open tool with a genuine </w:t>
      </w:r>
      <w:r>
        <w:rPr>
          <w:b/>
        </w:rPr>
        <w:t>code-free desktop GUI</w:t>
      </w:r>
      <w:r>
        <w:t xml:space="preserve">, but it is much narrower — a modular desktop app validated on physicochemical properties (melting/boiling point, vapour pressure, critical T/P), not the TDC ADMET group. </w:t>
      </w:r>
      <w:hyperlink r:id="rId17">
        <w:r>
          <w:rPr>
            <w:b/>
            <w:color w:val="1F5132"/>
            <w:position w:val="7"/>
            <w:sz w:val="18"/>
            <w:szCs w:val="18"/>
          </w:rPr>
          <w:t>11</w:t>
        </w:r>
      </w:hyperlink>
    </w:p>
    <w:p w14:paraId="53C8555B" w14:textId="77777777" w:rsidR="007C6891" w:rsidRDefault="004A17CB">
      <w:r>
        <w:rPr>
          <w:b/>
        </w:rPr>
        <w:t>Reading:</w:t>
      </w:r>
      <w:r>
        <w:t xml:space="preserve"> the package's individual capabilities are each matched by an open competitor. Its edge is the </w:t>
      </w:r>
      <w:r>
        <w:rPr>
          <w:i/>
        </w:rPr>
        <w:t>union</w:t>
      </w:r>
      <w:r>
        <w:t xml:space="preserve"> of code-free UI + architecture breadth + cross-suite coverage + laptop-feasibility.</w:t>
      </w:r>
    </w:p>
    <w:p w14:paraId="477F6564" w14:textId="77777777" w:rsidR="007C6891" w:rsidRDefault="004A17CB">
      <w:pPr>
        <w:pStyle w:val="Heading2"/>
      </w:pPr>
      <w:r>
        <w:t>2a. The ADMET-AI relationship (precise statement)</w:t>
      </w:r>
    </w:p>
    <w:p w14:paraId="7D61854A" w14:textId="77777777" w:rsidR="007C6891" w:rsidRDefault="004A17CB">
      <w:r>
        <w:t>Because this is easily misread, here is exactly how the package relates to ADMET-AI:</w:t>
      </w:r>
    </w:p>
    <w:p w14:paraId="21437187" w14:textId="7FEB45AF" w:rsidR="007C6891" w:rsidRDefault="004A17CB">
      <w:pPr>
        <w:pStyle w:val="ListParagraph"/>
        <w:tabs>
          <w:tab w:val="left" w:pos="720"/>
        </w:tabs>
        <w:ind w:left="720" w:hanging="360"/>
      </w:pPr>
      <w:r>
        <w:t>•</w:t>
      </w:r>
      <w:r>
        <w:tab/>
      </w:r>
      <w:r>
        <w:rPr>
          <w:b/>
        </w:rPr>
        <w:t>Architecture reused, tool not integrated.</w:t>
      </w:r>
      <w:r>
        <w:t xml:space="preserve"> ADMET-AI is </w:t>
      </w:r>
      <w:r>
        <w:rPr>
          <w:b/>
        </w:rPr>
        <w:t>not</w:t>
      </w:r>
      <w:r>
        <w:t xml:space="preserve"> one of the 28 models; it appears only as a cited comparator (</w:t>
      </w:r>
      <w:hyperlink r:id="rId18">
        <w:r>
          <w:rPr>
            <w:b/>
            <w:color w:val="1F5132"/>
            <w:position w:val="7"/>
            <w:sz w:val="18"/>
            <w:szCs w:val="18"/>
          </w:rPr>
          <w:t>20</w:t>
        </w:r>
      </w:hyperlink>
      <w:r>
        <w:t xml:space="preserve">) and in the introduction. What the package integrates is the </w:t>
      </w:r>
      <w:r>
        <w:rPr>
          <w:i/>
        </w:rPr>
        <w:t>approach</w:t>
      </w:r>
      <w:r>
        <w:t xml:space="preserve"> ADMET-AI is built on — the Chemprop package: "Graph neural networks were provided through Chemprop v2 [37, 38] … optional variants augment the graph encoder with train-only selected tabular descriptors or an RDKit-2D featurizer." </w:t>
      </w:r>
      <w:hyperlink r:id="rId19" w:anchor="pages=6-7">
        <w:r>
          <w:rPr>
            <w:b/>
            <w:color w:val="1F5132"/>
            <w:position w:val="7"/>
            <w:sz w:val="18"/>
            <w:szCs w:val="18"/>
          </w:rPr>
          <w:t>12</w:t>
        </w:r>
      </w:hyperlink>
      <w:r>
        <w:t xml:space="preserve"> The </w:t>
      </w:r>
      <w:r>
        <w:rPr>
          <w:b/>
        </w:rPr>
        <w:t>"Chemprop v2 (D-MPNN + RDKit2D)"</w:t>
      </w:r>
      <w:r>
        <w:t xml:space="preserve"> variant is essentially ADMET-AI's recipe, since ADMET-AI's Chemprop-RDKit model concatenates the Chemprop graph representation with 200 RDKit physicochemical features. </w:t>
      </w:r>
      <w:hyperlink r:id="rId20">
        <w:r>
          <w:rPr>
            <w:b/>
            <w:color w:val="1F5132"/>
            <w:position w:val="7"/>
            <w:sz w:val="18"/>
            <w:szCs w:val="18"/>
          </w:rPr>
          <w:t>13</w:t>
        </w:r>
      </w:hyperlink>
      <w:r>
        <w:t xml:space="preserve"> The package therefore reimplements the ADMET-AI </w:t>
      </w:r>
      <w:r>
        <w:rPr>
          <w:i/>
        </w:rPr>
        <w:t>architecture</w:t>
      </w:r>
      <w:r>
        <w:t xml:space="preserve"> via Chemprop v2 — not ADMET-AI's actual code, package, or trained weights.</w:t>
      </w:r>
    </w:p>
    <w:p w14:paraId="33671572" w14:textId="358C314C" w:rsidR="007C6891" w:rsidRDefault="004A17CB">
      <w:pPr>
        <w:pStyle w:val="ListParagraph"/>
        <w:tabs>
          <w:tab w:val="left" w:pos="720"/>
        </w:tabs>
        <w:ind w:left="720" w:hanging="360"/>
      </w:pPr>
      <w:r>
        <w:t>•</w:t>
      </w:r>
      <w:r>
        <w:tab/>
      </w:r>
      <w:r>
        <w:rPr>
          <w:b/>
        </w:rPr>
        <w:t>That path largely failed in this run.</w:t>
      </w:r>
      <w:r>
        <w:t xml:space="preserve"> "Four of the five configured Chemprop v2 variants failed on most datasets, leaving all Chemprop variants valid on only 6 of 44." </w:t>
      </w:r>
      <w:hyperlink r:id="rId21" w:anchor="pages=6-7">
        <w:r>
          <w:rPr>
            <w:b/>
            <w:color w:val="1F5132"/>
            <w:position w:val="7"/>
            <w:sz w:val="18"/>
            <w:szCs w:val="18"/>
          </w:rPr>
          <w:t>12</w:t>
        </w:r>
      </w:hyperlink>
      <w:r>
        <w:t xml:space="preserve"> The D-</w:t>
      </w:r>
      <w:r>
        <w:lastRenderedPageBreak/>
        <w:t xml:space="preserve">MPNN+RDKit2D variant produced valid results on only 6 datasets (2 regression, 4 classification), with one win. </w:t>
      </w:r>
      <w:hyperlink r:id="rId22" w:anchor="pages=6-7">
        <w:r>
          <w:rPr>
            <w:b/>
            <w:color w:val="1F5132"/>
            <w:position w:val="7"/>
            <w:sz w:val="18"/>
            <w:szCs w:val="18"/>
          </w:rPr>
          <w:t>12</w:t>
        </w:r>
      </w:hyperlink>
      <w:r>
        <w:t xml:space="preserve"> The authors themselves caution: "Chemprop v2 shows the highest within-5% rate in the table (83%) and a median rank of 2, but on only 6 of 44 datasets, because four of its five configured variants failed on most tasks … it is the one row in Table 3 that should not be compared with the others." </w:t>
      </w:r>
      <w:hyperlink r:id="rId23" w:anchor="pages=6-7">
        <w:r>
          <w:rPr>
            <w:b/>
            <w:color w:val="1F5132"/>
            <w:position w:val="7"/>
            <w:sz w:val="18"/>
            <w:szCs w:val="18"/>
          </w:rPr>
          <w:t>12</w:t>
        </w:r>
      </w:hyperlink>
    </w:p>
    <w:p w14:paraId="14AE823F" w14:textId="77777777" w:rsidR="007C6891" w:rsidRDefault="004A17CB">
      <w:pPr>
        <w:pStyle w:val="ListParagraph"/>
        <w:tabs>
          <w:tab w:val="left" w:pos="720"/>
        </w:tabs>
        <w:ind w:left="720" w:hanging="360"/>
      </w:pPr>
      <w:r>
        <w:t>•</w:t>
      </w:r>
      <w:r>
        <w:tab/>
      </w:r>
      <w:r>
        <w:rPr>
          <w:b/>
        </w:rPr>
        <w:t>Parity is therefore untested, not lost.</w:t>
      </w:r>
      <w:r>
        <w:t xml:space="preserve"> With no direct comparison in the paper and the ADMET-AI-equivalent path running on ~14% of datasets, the manuscript can </w:t>
      </w:r>
      <w:r>
        <w:rPr>
          <w:b/>
        </w:rPr>
        <w:t>neither claim to reproduce ADMET-AI nor to beat it.</w:t>
      </w:r>
      <w:r>
        <w:t xml:space="preserve"> The "Match Pretrained Molecular Models" claim in the title is, on this evidence, unsubstantiated </w:t>
      </w:r>
      <w:r>
        <w:rPr>
          <w:i/>
        </w:rPr>
        <w:t>for ADMET-AI specifically</w:t>
      </w:r>
      <w:r>
        <w:t>.</w:t>
      </w:r>
    </w:p>
    <w:p w14:paraId="05C75779" w14:textId="77777777" w:rsidR="007C6891" w:rsidRDefault="004A17CB">
      <w:pPr>
        <w:pStyle w:val="ListParagraph"/>
        <w:tabs>
          <w:tab w:val="left" w:pos="720"/>
        </w:tabs>
        <w:ind w:left="720" w:hanging="360"/>
      </w:pPr>
      <w:r>
        <w:t>•</w:t>
      </w:r>
      <w:r>
        <w:tab/>
      </w:r>
      <w:r>
        <w:rPr>
          <w:b/>
        </w:rPr>
        <w:t>Constructive fix.</w:t>
      </w:r>
      <w:r>
        <w:t xml:space="preserve"> Getting the Chemprop v2 backend to run on all 44 datasets would let the D-MPNN+RDKit2D variant serve as a genuine, apples-to-apples ADMET-AI proxy — the cleanest way to earn the "match" claim. Alternatively, pull ADMET-AI's </w:t>
      </w:r>
      <w:r>
        <w:rPr>
          <w:i/>
        </w:rPr>
        <w:t>published</w:t>
      </w:r>
      <w:r>
        <w:t xml:space="preserve"> TDC numbers into a comparison row. This is the single most consequential gap for the parity narrative.</w:t>
      </w:r>
    </w:p>
    <w:p w14:paraId="4B73735B" w14:textId="77777777" w:rsidR="007C6891" w:rsidRDefault="004A17CB">
      <w:pPr>
        <w:pStyle w:val="Heading2"/>
      </w:pPr>
      <w:r>
        <w:t>3. Commercial / SaaS tools</w:t>
      </w:r>
    </w:p>
    <w:p w14:paraId="271D3EF4" w14:textId="77777777" w:rsidR="007C6891" w:rsidRDefault="004A17CB">
      <w:pPr>
        <w:pStyle w:val="ListParagraph"/>
        <w:tabs>
          <w:tab w:val="left" w:pos="720"/>
        </w:tabs>
        <w:ind w:left="720" w:hanging="360"/>
      </w:pPr>
      <w:r>
        <w:t>•</w:t>
      </w:r>
      <w:r>
        <w:tab/>
      </w:r>
      <w:r>
        <w:rPr>
          <w:b/>
        </w:rPr>
        <w:t>Schrödinger AutoQSAR / DeepAutoQSAR</w:t>
      </w:r>
      <w:r>
        <w:t xml:space="preserve"> — the name collision </w:t>
      </w:r>
      <w:r>
        <w:rPr>
          <w:i/>
        </w:rPr>
        <w:t>and</w:t>
      </w:r>
      <w:r>
        <w:t xml:space="preserve"> a commercial performance benchmark. It is the rare commercial tool that published TDC numbers: DeepAutoQSAR is among the top-performing methods in 20 of 22 TDC ADMET cases, clearly outperforming ChemProp and DeepPurpose in 9 of those. </w:t>
      </w:r>
      <w:hyperlink r:id="rId24">
        <w:r>
          <w:rPr>
            <w:b/>
            <w:color w:val="1F5132"/>
            <w:position w:val="7"/>
            <w:sz w:val="18"/>
            <w:szCs w:val="18"/>
          </w:rPr>
          <w:t>14</w:t>
        </w:r>
      </w:hyperlink>
      <w:r>
        <w:t xml:space="preserve"> It builds models from user data via GUI + CLI.</w:t>
      </w:r>
    </w:p>
    <w:p w14:paraId="2804E8C4" w14:textId="77777777" w:rsidR="007C6891" w:rsidRDefault="004A17CB">
      <w:pPr>
        <w:pStyle w:val="ListParagraph"/>
        <w:tabs>
          <w:tab w:val="left" w:pos="720"/>
        </w:tabs>
        <w:ind w:left="720" w:hanging="360"/>
      </w:pPr>
      <w:r>
        <w:t>•</w:t>
      </w:r>
      <w:r>
        <w:tab/>
      </w:r>
      <w:r>
        <w:rPr>
          <w:b/>
        </w:rPr>
        <w:t>Simulations Plus ADMET Predictor</w:t>
      </w:r>
      <w:r>
        <w:t xml:space="preserve"> — the dominant commercial ADMET tool: it covers ~100 endpoints with models trained on proprietary datasets, provides confidence scores and applicability domains, and can build custom models — but it does not report on the TDC leaderboard. </w:t>
      </w:r>
      <w:hyperlink r:id="rId25">
        <w:r>
          <w:rPr>
            <w:b/>
            <w:color w:val="1F5132"/>
            <w:position w:val="7"/>
            <w:sz w:val="18"/>
            <w:szCs w:val="18"/>
          </w:rPr>
          <w:t>15</w:t>
        </w:r>
      </w:hyperlink>
    </w:p>
    <w:p w14:paraId="5F625DAD" w14:textId="77777777" w:rsidR="007C6891" w:rsidRDefault="004A17CB">
      <w:pPr>
        <w:pStyle w:val="ListParagraph"/>
        <w:tabs>
          <w:tab w:val="left" w:pos="720"/>
        </w:tabs>
        <w:ind w:left="720" w:hanging="360"/>
      </w:pPr>
      <w:r>
        <w:t>•</w:t>
      </w:r>
      <w:r>
        <w:tab/>
      </w:r>
      <w:r>
        <w:rPr>
          <w:b/>
        </w:rPr>
        <w:t>Optibrium StarDrop</w:t>
      </w:r>
      <w:r>
        <w:t xml:space="preserve"> — a commercial desktop suite whose Auto-Modeller lets users train their own QSAR models (PLS, RF, SVM, Gaussian Processes), with little published algorithmic detail; </w:t>
      </w:r>
      <w:hyperlink r:id="rId26">
        <w:r>
          <w:rPr>
            <w:b/>
            <w:color w:val="1F5132"/>
            <w:position w:val="7"/>
            <w:sz w:val="18"/>
            <w:szCs w:val="18"/>
          </w:rPr>
          <w:t>16</w:t>
        </w:r>
      </w:hyperlink>
      <w:r>
        <w:t xml:space="preserve"> no public TDC leaderboard entry.</w:t>
      </w:r>
    </w:p>
    <w:p w14:paraId="5BB091B5" w14:textId="77777777" w:rsidR="007C6891" w:rsidRDefault="004A17CB">
      <w:r>
        <w:rPr>
          <w:b/>
        </w:rPr>
        <w:t>Reading:</w:t>
      </w:r>
      <w:r>
        <w:t xml:space="preserve"> among commercial tools, </w:t>
      </w:r>
      <w:r>
        <w:rPr>
          <w:b/>
        </w:rPr>
        <w:t>only Schrödinger competes on public benchmarks</w:t>
      </w:r>
      <w:r>
        <w:t xml:space="preserve">; the others validate on proprietary/independent data and deliberately avoid public leaderboards. So the package is comparable to commercial tools on </w:t>
      </w:r>
      <w:r>
        <w:rPr>
          <w:i/>
        </w:rPr>
        <w:t>functionality</w:t>
      </w:r>
      <w:r>
        <w:t xml:space="preserve">, but the only commercial </w:t>
      </w:r>
      <w:r>
        <w:rPr>
          <w:i/>
        </w:rPr>
        <w:t>performance</w:t>
      </w:r>
      <w:r>
        <w:t xml:space="preserve"> reference point available is Schrödinger's white paper.</w:t>
      </w:r>
    </w:p>
    <w:p w14:paraId="1FD2C11F" w14:textId="77777777" w:rsidR="007C6891" w:rsidRDefault="004A17CB">
      <w:pPr>
        <w:pStyle w:val="Heading2"/>
      </w:pPr>
      <w:r>
        <w:t>4. Popular tools that do NOT publish benchmark performance</w:t>
      </w:r>
    </w:p>
    <w:p w14:paraId="7347791B" w14:textId="77777777" w:rsidR="007C6891" w:rsidRDefault="004A17CB">
      <w:r>
        <w:t>The field's most-</w:t>
      </w:r>
      <w:r>
        <w:rPr>
          <w:i/>
        </w:rPr>
        <w:t>used</w:t>
      </w:r>
      <w:r>
        <w:t xml:space="preserve"> tools win on convenience, not demonstrated leaderboard accuracy — an important reframing of what "crowded" means:</w:t>
      </w:r>
    </w:p>
    <w:p w14:paraId="17FDFF84" w14:textId="77777777" w:rsidR="007C6891" w:rsidRDefault="004A17CB">
      <w:pPr>
        <w:pStyle w:val="ListParagraph"/>
        <w:tabs>
          <w:tab w:val="left" w:pos="720"/>
        </w:tabs>
        <w:ind w:left="720" w:hanging="360"/>
      </w:pPr>
      <w:r>
        <w:t>•</w:t>
      </w:r>
      <w:r>
        <w:tab/>
      </w:r>
      <w:r>
        <w:rPr>
          <w:b/>
        </w:rPr>
        <w:t>SwissADME</w:t>
      </w:r>
      <w:r>
        <w:t xml:space="preserve"> — among the most-cited tools in the field (thousands to ~14,000+ citations by aggregator counts </w:t>
      </w:r>
      <w:hyperlink r:id="rId27">
        <w:r>
          <w:rPr>
            <w:b/>
            <w:color w:val="1F5132"/>
            <w:position w:val="7"/>
            <w:sz w:val="18"/>
            <w:szCs w:val="18"/>
          </w:rPr>
          <w:t>17</w:t>
        </w:r>
      </w:hyperlink>
      <w:r>
        <w:t xml:space="preserve">); all models are fixed in-house methods (BOILED-Egg, iLOGP, Bioavailability Radar), not retrainable, batch ≤10,000 molecules. </w:t>
      </w:r>
      <w:hyperlink r:id="rId28">
        <w:r>
          <w:rPr>
            <w:b/>
            <w:color w:val="1F5132"/>
            <w:position w:val="7"/>
            <w:sz w:val="18"/>
            <w:szCs w:val="18"/>
          </w:rPr>
          <w:t>18</w:t>
        </w:r>
      </w:hyperlink>
    </w:p>
    <w:p w14:paraId="0640246D" w14:textId="77777777" w:rsidR="007C6891" w:rsidRDefault="004A17CB">
      <w:pPr>
        <w:pStyle w:val="ListParagraph"/>
        <w:tabs>
          <w:tab w:val="left" w:pos="720"/>
        </w:tabs>
        <w:ind w:left="720" w:hanging="360"/>
      </w:pPr>
      <w:r>
        <w:t>•</w:t>
      </w:r>
      <w:r>
        <w:tab/>
      </w:r>
      <w:r>
        <w:rPr>
          <w:b/>
        </w:rPr>
        <w:t>pkCSM</w:t>
      </w:r>
      <w:r>
        <w:t xml:space="preserve"> — a user-friendly web server using graph-based signatures, privacy-preserving, with fixed models. </w:t>
      </w:r>
      <w:hyperlink r:id="rId29">
        <w:r>
          <w:rPr>
            <w:b/>
            <w:color w:val="1F5132"/>
            <w:position w:val="7"/>
            <w:sz w:val="18"/>
            <w:szCs w:val="18"/>
          </w:rPr>
          <w:t>19</w:t>
        </w:r>
      </w:hyperlink>
    </w:p>
    <w:p w14:paraId="65C22949" w14:textId="77777777" w:rsidR="007C6891" w:rsidRDefault="004A17CB">
      <w:pPr>
        <w:pStyle w:val="ListParagraph"/>
        <w:tabs>
          <w:tab w:val="left" w:pos="720"/>
        </w:tabs>
        <w:ind w:left="720" w:hanging="360"/>
      </w:pPr>
      <w:r>
        <w:lastRenderedPageBreak/>
        <w:t>•</w:t>
      </w:r>
      <w:r>
        <w:tab/>
      </w:r>
      <w:r>
        <w:rPr>
          <w:b/>
        </w:rPr>
        <w:t>admetSAR</w:t>
      </w:r>
      <w:r>
        <w:t xml:space="preserve"> — ML models over 51 endpoints; fixed, database-specific. </w:t>
      </w:r>
      <w:hyperlink r:id="rId30">
        <w:r>
          <w:rPr>
            <w:b/>
            <w:color w:val="1F5132"/>
            <w:position w:val="7"/>
            <w:sz w:val="18"/>
            <w:szCs w:val="18"/>
          </w:rPr>
          <w:t>20</w:t>
        </w:r>
      </w:hyperlink>
    </w:p>
    <w:p w14:paraId="64B6BE7E" w14:textId="77777777" w:rsidR="007C6891" w:rsidRDefault="004A17CB">
      <w:pPr>
        <w:pStyle w:val="ListParagraph"/>
        <w:tabs>
          <w:tab w:val="left" w:pos="720"/>
        </w:tabs>
        <w:ind w:left="720" w:hanging="360"/>
      </w:pPr>
      <w:r>
        <w:t>•</w:t>
      </w:r>
      <w:r>
        <w:tab/>
      </w:r>
      <w:r>
        <w:rPr>
          <w:b/>
        </w:rPr>
        <w:t>ADMETlab 2.0/3.0</w:t>
      </w:r>
      <w:r>
        <w:t xml:space="preserve"> — very popular; 88 ADMET parameters via a multi-task graph-attention framework, delivered as fixed web models. </w:t>
      </w:r>
      <w:hyperlink r:id="rId31">
        <w:r>
          <w:rPr>
            <w:b/>
            <w:color w:val="1F5132"/>
            <w:position w:val="7"/>
            <w:sz w:val="18"/>
            <w:szCs w:val="18"/>
          </w:rPr>
          <w:t>21</w:t>
        </w:r>
      </w:hyperlink>
    </w:p>
    <w:p w14:paraId="51B6D3F8" w14:textId="77777777" w:rsidR="007C6891" w:rsidRDefault="004A17CB">
      <w:r>
        <w:rPr>
          <w:b/>
        </w:rPr>
        <w:t>Reading:</w:t>
      </w:r>
      <w:r>
        <w:t xml:space="preserve"> market adoption is driven by free, fixed, web-based convenience tools that never touch TDC. "We benchmark rigorously" is therefore a credibility differentiator, </w:t>
      </w:r>
      <w:r>
        <w:rPr>
          <w:b/>
        </w:rPr>
        <w:t>not</w:t>
      </w:r>
      <w:r>
        <w:t xml:space="preserve"> the axis on which users are actually won — which is </w:t>
      </w:r>
      <w:r>
        <w:rPr>
          <w:b/>
        </w:rPr>
        <w:t>accessibility</w:t>
      </w:r>
      <w:r>
        <w:t xml:space="preserve"> (code-free, free, laptop-runnable). The package should claim both, honestly separated.</w:t>
      </w:r>
    </w:p>
    <w:p w14:paraId="6DEEB605" w14:textId="77777777" w:rsidR="007C6891" w:rsidRDefault="004A17CB">
      <w:pPr>
        <w:pStyle w:val="Heading2"/>
      </w:pPr>
      <w:r>
        <w:t>5. Differentiation vs. redundancy</w:t>
      </w:r>
    </w:p>
    <w:p w14:paraId="79C9D15A" w14:textId="77777777" w:rsidR="007C6891" w:rsidRDefault="004A17CB">
      <w:r>
        <w:rPr>
          <w:b/>
        </w:rPr>
        <w:t>Genuinely differentiated (defensible USPs):</w:t>
      </w:r>
    </w:p>
    <w:p w14:paraId="4E716D7E" w14:textId="6BE30A2C" w:rsidR="007C6891" w:rsidRDefault="004A17CB">
      <w:pPr>
        <w:pStyle w:val="ListParagraph"/>
        <w:tabs>
          <w:tab w:val="left" w:pos="720"/>
        </w:tabs>
        <w:ind w:left="720" w:hanging="360"/>
      </w:pPr>
      <w:r>
        <w:t>1.</w:t>
      </w:r>
      <w:r>
        <w:tab/>
      </w:r>
      <w:r>
        <w:rPr>
          <w:b/>
        </w:rPr>
        <w:t>Breadth in one open harness</w:t>
      </w:r>
      <w:r>
        <w:t xml:space="preserve"> — no other open tool combines a code-free interface with 7 architecture families/28 models (incl. 3D-pretrained Uni-Mol, D-MPNN GNN, and stacking/CFA fusion) and uniform leakage-controlled evaluation across </w:t>
      </w:r>
      <w:r>
        <w:rPr>
          <w:b/>
        </w:rPr>
        <w:t>five</w:t>
      </w:r>
      <w:r>
        <w:t xml:space="preserve"> suites. The manuscript's "exceeds prior single-tool studies" claim is defensible specifically on the cross-suite axis. </w:t>
      </w:r>
      <w:hyperlink r:id="rId32" w:anchor="pages=6-7">
        <w:r>
          <w:rPr>
            <w:b/>
            <w:color w:val="1F5132"/>
            <w:position w:val="7"/>
            <w:sz w:val="18"/>
            <w:szCs w:val="18"/>
          </w:rPr>
          <w:t>12</w:t>
        </w:r>
      </w:hyperlink>
    </w:p>
    <w:p w14:paraId="70826817" w14:textId="2E05F8FE" w:rsidR="007C6891" w:rsidRDefault="004A17CB">
      <w:pPr>
        <w:pStyle w:val="ListParagraph"/>
        <w:tabs>
          <w:tab w:val="left" w:pos="720"/>
        </w:tabs>
        <w:ind w:left="720" w:hanging="360"/>
      </w:pPr>
      <w:r>
        <w:t>2.</w:t>
      </w:r>
      <w:r>
        <w:tab/>
      </w:r>
      <w:r>
        <w:rPr>
          <w:b/>
        </w:rPr>
        <w:t>A separable scientific finding</w:t>
      </w:r>
      <w:r>
        <w:t xml:space="preserve"> — no family won more than 36% of datasets, </w:t>
      </w:r>
      <w:hyperlink r:id="rId33" w:anchor="pages=6-7">
        <w:r>
          <w:rPr>
            <w:b/>
            <w:color w:val="1F5132"/>
            <w:position w:val="7"/>
            <w:sz w:val="18"/>
            <w:szCs w:val="18"/>
          </w:rPr>
          <w:t>12</w:t>
        </w:r>
      </w:hyperlink>
      <w:r>
        <w:t xml:space="preserve"> and honest CV-only model selection drops top-ten placement from 35 to 25 of 37, first places from five to none, and median rank from 3 to 8. </w:t>
      </w:r>
      <w:hyperlink r:id="rId34" w:anchor="pages=6-7">
        <w:r>
          <w:rPr>
            <w:b/>
            <w:color w:val="1F5132"/>
            <w:position w:val="7"/>
            <w:sz w:val="18"/>
            <w:szCs w:val="18"/>
          </w:rPr>
          <w:t>12</w:t>
        </w:r>
      </w:hyperlink>
      <w:r>
        <w:t xml:space="preserve"> This is a contribution to the literature regardless of tool adoption, and is the strongest, most novel value.</w:t>
      </w:r>
    </w:p>
    <w:p w14:paraId="55E03B15" w14:textId="29717BD6" w:rsidR="007C6891" w:rsidRDefault="004A17CB">
      <w:pPr>
        <w:pStyle w:val="ListParagraph"/>
        <w:tabs>
          <w:tab w:val="left" w:pos="720"/>
        </w:tabs>
        <w:ind w:left="720" w:hanging="360"/>
      </w:pPr>
      <w:r>
        <w:t>3.</w:t>
      </w:r>
      <w:r>
        <w:tab/>
      </w:r>
      <w:r>
        <w:rPr>
          <w:b/>
        </w:rPr>
        <w:t>Accessibility</w:t>
      </w:r>
      <w:r>
        <w:t xml:space="preserve"> — A100 and consumer RTX 4060 laptop runs are indistinguishable in accuracy (median metric change −0.19%). </w:t>
      </w:r>
      <w:hyperlink r:id="rId35" w:anchor="pages=6-7">
        <w:r>
          <w:rPr>
            <w:b/>
            <w:color w:val="1F5132"/>
            <w:position w:val="7"/>
            <w:sz w:val="18"/>
            <w:szCs w:val="18"/>
          </w:rPr>
          <w:t>12</w:t>
        </w:r>
      </w:hyperlink>
    </w:p>
    <w:p w14:paraId="164770DE" w14:textId="77777777" w:rsidR="007C6891" w:rsidRDefault="004A17CB">
      <w:r>
        <w:rPr>
          <w:b/>
        </w:rPr>
        <w:t>Redundant / not differentiated:</w:t>
      </w:r>
    </w:p>
    <w:p w14:paraId="4DC1BF20" w14:textId="2128F793" w:rsidR="007C6891" w:rsidRDefault="004A17CB">
      <w:pPr>
        <w:pStyle w:val="ListParagraph"/>
        <w:tabs>
          <w:tab w:val="left" w:pos="720"/>
        </w:tabs>
        <w:ind w:left="720" w:hanging="360"/>
      </w:pPr>
      <w:r>
        <w:t>•</w:t>
      </w:r>
      <w:r>
        <w:tab/>
      </w:r>
      <w:r>
        <w:rPr>
          <w:b/>
        </w:rPr>
        <w:t>Accuracy</w:t>
      </w:r>
      <w:r>
        <w:t xml:space="preserve"> — it does not lead, and against the leading open tool it is </w:t>
      </w:r>
      <w:r>
        <w:rPr>
          <w:b/>
        </w:rPr>
        <w:t>untested</w:t>
      </w:r>
      <w:r>
        <w:t xml:space="preserve">: ADMET-AI self-reports the top average TDC rank (2024), </w:t>
      </w:r>
      <w:hyperlink r:id="rId36">
        <w:r>
          <w:rPr>
            <w:b/>
            <w:color w:val="1F5132"/>
            <w:position w:val="7"/>
            <w:sz w:val="18"/>
            <w:szCs w:val="18"/>
          </w:rPr>
          <w:t>1</w:t>
        </w:r>
      </w:hyperlink>
      <w:r>
        <w:t xml:space="preserve"> the manuscript runs no head-to-head, and its own ADMET-AI-equivalent Chemprop-RDKit path was valid on only 6 of 44 datasets. </w:t>
      </w:r>
      <w:hyperlink r:id="rId37" w:anchor="pages=6-7">
        <w:r>
          <w:rPr>
            <w:b/>
            <w:color w:val="1F5132"/>
            <w:position w:val="7"/>
            <w:sz w:val="18"/>
            <w:szCs w:val="18"/>
          </w:rPr>
          <w:t>12</w:t>
        </w:r>
      </w:hyperlink>
      <w:r>
        <w:t xml:space="preserve"> Other tools also lead on individual endpoints (MaxQsaring first on 19/22 </w:t>
      </w:r>
      <w:hyperlink r:id="rId38">
        <w:r>
          <w:rPr>
            <w:b/>
            <w:color w:val="1F5132"/>
            <w:position w:val="7"/>
            <w:sz w:val="18"/>
            <w:szCs w:val="18"/>
          </w:rPr>
          <w:t>3</w:t>
        </w:r>
      </w:hyperlink>
      <w:r>
        <w:t xml:space="preserve">; DeepAutoQSAR top in 20/22 </w:t>
      </w:r>
      <w:hyperlink r:id="rId39">
        <w:r>
          <w:rPr>
            <w:b/>
            <w:color w:val="1F5132"/>
            <w:position w:val="7"/>
            <w:sz w:val="18"/>
            <w:szCs w:val="18"/>
          </w:rPr>
          <w:t>14</w:t>
        </w:r>
      </w:hyperlink>
      <w:r>
        <w:t>).</w:t>
      </w:r>
    </w:p>
    <w:p w14:paraId="1CCE1D99" w14:textId="77777777" w:rsidR="007C6891" w:rsidRDefault="004A17CB">
      <w:pPr>
        <w:pStyle w:val="ListParagraph"/>
        <w:tabs>
          <w:tab w:val="left" w:pos="720"/>
        </w:tabs>
        <w:ind w:left="720" w:hanging="360"/>
      </w:pPr>
      <w:r>
        <w:t>•</w:t>
      </w:r>
      <w:r>
        <w:tab/>
      </w:r>
      <w:r>
        <w:rPr>
          <w:b/>
        </w:rPr>
        <w:t>Open AutoML + retraining</w:t>
      </w:r>
      <w:r>
        <w:t xml:space="preserve"> — a crowded sub-niche (DeepMol, QSARtuna, ZairaChem, QSPRpred).</w:t>
      </w:r>
    </w:p>
    <w:p w14:paraId="2A522A6F" w14:textId="77777777" w:rsidR="007C6891" w:rsidRDefault="004A17CB">
      <w:pPr>
        <w:pStyle w:val="ListParagraph"/>
        <w:tabs>
          <w:tab w:val="left" w:pos="720"/>
        </w:tabs>
        <w:ind w:left="720" w:hanging="360"/>
      </w:pPr>
      <w:r>
        <w:t>•</w:t>
      </w:r>
      <w:r>
        <w:tab/>
      </w:r>
      <w:r>
        <w:rPr>
          <w:b/>
        </w:rPr>
        <w:t>Code-free UI alone</w:t>
      </w:r>
      <w:r>
        <w:t xml:space="preserve"> — ChemXploreML (open) and Schrödinger (commercial) already offer it.</w:t>
      </w:r>
    </w:p>
    <w:p w14:paraId="2D32B27A" w14:textId="77777777" w:rsidR="007C6891" w:rsidRDefault="004A17CB">
      <w:pPr>
        <w:pStyle w:val="Heading2"/>
      </w:pPr>
      <w:r>
        <w:t>6. Positioning recommendations for the manuscript</w:t>
      </w:r>
    </w:p>
    <w:p w14:paraId="0CF5B71C" w14:textId="77777777" w:rsidR="007C6891" w:rsidRDefault="004A17CB">
      <w:pPr>
        <w:pStyle w:val="ListParagraph"/>
        <w:tabs>
          <w:tab w:val="left" w:pos="720"/>
        </w:tabs>
        <w:ind w:left="720" w:hanging="360"/>
      </w:pPr>
      <w:r>
        <w:t>1.</w:t>
      </w:r>
      <w:r>
        <w:tab/>
      </w:r>
      <w:r>
        <w:rPr>
          <w:b/>
        </w:rPr>
        <w:t>Insert the comparison table in §7 below</w:t>
      </w:r>
      <w:r>
        <w:t xml:space="preserve"> into the introduction or discussion — it pre-empts the "why another QSAR tool?" reflex far better than a bare "to our knowledge" claim, and conceding where competitors lead strengthens credibility.</w:t>
      </w:r>
    </w:p>
    <w:p w14:paraId="497E56E8" w14:textId="77777777" w:rsidR="007C6891" w:rsidRDefault="004A17CB">
      <w:pPr>
        <w:pStyle w:val="ListParagraph"/>
        <w:tabs>
          <w:tab w:val="left" w:pos="720"/>
        </w:tabs>
        <w:ind w:left="720" w:hanging="360"/>
      </w:pPr>
      <w:r>
        <w:t>2.</w:t>
      </w:r>
      <w:r>
        <w:tab/>
      </w:r>
      <w:r>
        <w:rPr>
          <w:b/>
        </w:rPr>
        <w:t>Reframe the contribution</w:t>
      </w:r>
      <w:r>
        <w:t xml:space="preserve"> around (i) a unifying, leakage-controlled, cross-suite/cross-architecture benchmarking framework and (ii) the architecture-agnostic empirical finding — not accuracy.</w:t>
      </w:r>
    </w:p>
    <w:p w14:paraId="0ED8E2CB" w14:textId="77777777" w:rsidR="007C6891" w:rsidRDefault="004A17CB">
      <w:pPr>
        <w:pStyle w:val="ListParagraph"/>
        <w:tabs>
          <w:tab w:val="left" w:pos="720"/>
        </w:tabs>
        <w:ind w:left="720" w:hanging="360"/>
      </w:pPr>
      <w:r>
        <w:lastRenderedPageBreak/>
        <w:t>3.</w:t>
      </w:r>
      <w:r>
        <w:tab/>
      </w:r>
      <w:r>
        <w:rPr>
          <w:b/>
        </w:rPr>
        <w:t>Cite the omitted peer cluster</w:t>
      </w:r>
      <w:r>
        <w:t>: QSARtuna, ZairaChem, QSPRpred, DeepPurpose, and — for honesty about the naming/performance frontier — the Schrödinger DeepAutoQSAR TDC white paper. The current introduction cites ADMET-AI, DeepMol, Auto-ADMET, and ChemXploreML but misses the AstraZeneca/Ersilia/Leiden open cluster that is the closest peer group.</w:t>
      </w:r>
    </w:p>
    <w:p w14:paraId="3181376D" w14:textId="77777777" w:rsidR="007C6891" w:rsidRDefault="004A17CB">
      <w:pPr>
        <w:pStyle w:val="ListParagraph"/>
        <w:tabs>
          <w:tab w:val="left" w:pos="720"/>
        </w:tabs>
        <w:ind w:left="720" w:hanging="360"/>
      </w:pPr>
      <w:r>
        <w:t>4.</w:t>
      </w:r>
      <w:r>
        <w:tab/>
      </w:r>
      <w:r>
        <w:rPr>
          <w:b/>
        </w:rPr>
        <w:t>Substantiate parity, not superiority</w:t>
      </w:r>
      <w:r>
        <w:t xml:space="preserve"> — back "match pretrained models" (in the title) with a like-for-like line against published competitor numbers. For ADMET-AI specifically, this requires a working Chemprop-RDKit run (§2a) or a direct comparison against ADMET-AI's published values.</w:t>
      </w:r>
    </w:p>
    <w:p w14:paraId="4538147C" w14:textId="77777777" w:rsidR="007C6891" w:rsidRDefault="004A17CB">
      <w:pPr>
        <w:pStyle w:val="ListParagraph"/>
        <w:tabs>
          <w:tab w:val="left" w:pos="720"/>
        </w:tabs>
        <w:ind w:left="720" w:hanging="360"/>
      </w:pPr>
      <w:r>
        <w:t>5.</w:t>
      </w:r>
      <w:r>
        <w:tab/>
      </w:r>
      <w:r>
        <w:rPr>
          <w:b/>
        </w:rPr>
        <w:t>Lead with accessibility</w:t>
      </w:r>
      <w:r>
        <w:t xml:space="preserve"> (code-free + free + laptop + cross-suite) as the user-facing value, aligned with the non-expert/regulatory audience.</w:t>
      </w:r>
    </w:p>
    <w:p w14:paraId="1376A241" w14:textId="77777777" w:rsidR="007C6891" w:rsidRDefault="007C6891">
      <w:pPr>
        <w:pBdr>
          <w:bottom w:val="single" w:sz="6" w:space="1" w:color="auto"/>
        </w:pBdr>
      </w:pPr>
    </w:p>
    <w:p w14:paraId="493B5CD9" w14:textId="77777777" w:rsidR="007C6891" w:rsidRDefault="004A17CB">
      <w:pPr>
        <w:pStyle w:val="Heading2"/>
      </w:pPr>
      <w:r>
        <w:t>7. READY-TO-INSERT MANUSCRIPT TABLE</w:t>
      </w:r>
    </w:p>
    <w:p w14:paraId="0565C462" w14:textId="77777777" w:rsidR="007C6891" w:rsidRDefault="004A17CB">
      <w:pPr>
        <w:pStyle w:val="Quote"/>
      </w:pPr>
      <w:r>
        <w:t>Drop this in as a new table (renumber to your scheme). Reference callouts use the tool name; swap in your numeric citation keys and use the formatted references in §8. "Retrain" = can the user train models on their own data; "Code-free" = usable with no scripting via GUI/notebook; "Suites" = number of distinct benchmark collections the tool has been evaluated on in its own publications; "Published TDC" = performance reported on the TDC ADMET benchmark group.</w:t>
      </w:r>
    </w:p>
    <w:p w14:paraId="2C2B8505" w14:textId="77777777" w:rsidR="007C6891" w:rsidRDefault="004A17CB">
      <w:r>
        <w:rPr>
          <w:b/>
        </w:rPr>
        <w:t>Table X. Positioning of [PACKAGE] relative to representative open-source and commercial molecular property-prediction tools.</w:t>
      </w:r>
      <w:r>
        <w:t xml:space="preserve"> Performance entries reflect each tool's own published results on the TDC ADMET benchmark group; "—" indicates no public TDC leaderboard results. Entries are not head-to-head comparisons under a common protocol.</w:t>
      </w:r>
    </w:p>
    <w:p w14:paraId="1C9AEB1C" w14:textId="77777777" w:rsidR="007C6891" w:rsidRDefault="007C6891">
      <w:pPr>
        <w:spacing w:before="120" w:after="0" w:line="20" w:lineRule="exact"/>
      </w:pPr>
    </w:p>
    <w:tbl>
      <w:tblPr>
        <w:tblW w:w="5000" w:type="pct"/>
        <w:tblBorders>
          <w:top w:val="single" w:sz="4" w:space="0" w:color="D0D3D7"/>
          <w:left w:val="single" w:sz="4" w:space="0" w:color="D0D3D7"/>
          <w:bottom w:val="single" w:sz="4" w:space="0" w:color="D0D3D7"/>
          <w:right w:val="single" w:sz="4" w:space="0" w:color="D0D3D7"/>
          <w:insideH w:val="single" w:sz="4" w:space="0" w:color="D0D3D7"/>
          <w:insideV w:val="single" w:sz="4" w:space="0" w:color="D0D3D7"/>
        </w:tblBorders>
        <w:tblCellMar>
          <w:top w:w="60" w:type="dxa"/>
          <w:bottom w:w="60" w:type="dxa"/>
        </w:tblCellMar>
        <w:tblLook w:val="04A0" w:firstRow="1" w:lastRow="0" w:firstColumn="1" w:lastColumn="0" w:noHBand="0" w:noVBand="1"/>
      </w:tblPr>
      <w:tblGrid>
        <w:gridCol w:w="1625"/>
        <w:gridCol w:w="1337"/>
        <w:gridCol w:w="977"/>
        <w:gridCol w:w="875"/>
        <w:gridCol w:w="1564"/>
        <w:gridCol w:w="1635"/>
        <w:gridCol w:w="1337"/>
      </w:tblGrid>
      <w:tr w:rsidR="007C6891" w14:paraId="6871BDC6" w14:textId="77777777">
        <w:trPr>
          <w:cantSplit/>
          <w:tblHeader/>
        </w:trPr>
        <w:tc>
          <w:tcPr>
            <w:tcW w:w="1337" w:type="dxa"/>
            <w:shd w:val="clear" w:color="auto" w:fill="1F5132"/>
          </w:tcPr>
          <w:p w14:paraId="7E3A3FEC" w14:textId="77777777" w:rsidR="007C6891" w:rsidRDefault="004A17CB">
            <w:pPr>
              <w:pStyle w:val="TableHeader"/>
              <w:keepNext/>
            </w:pPr>
            <w:r>
              <w:lastRenderedPageBreak/>
              <w:t>Tool</w:t>
            </w:r>
          </w:p>
        </w:tc>
        <w:tc>
          <w:tcPr>
            <w:tcW w:w="1337" w:type="dxa"/>
            <w:shd w:val="clear" w:color="auto" w:fill="1F5132"/>
          </w:tcPr>
          <w:p w14:paraId="1BB34E20" w14:textId="77777777" w:rsidR="007C6891" w:rsidRDefault="004A17CB">
            <w:pPr>
              <w:pStyle w:val="TableHeader"/>
              <w:keepNext/>
            </w:pPr>
            <w:r>
              <w:t>Access / license</w:t>
            </w:r>
          </w:p>
        </w:tc>
        <w:tc>
          <w:tcPr>
            <w:tcW w:w="1337" w:type="dxa"/>
            <w:shd w:val="clear" w:color="auto" w:fill="1F5132"/>
          </w:tcPr>
          <w:p w14:paraId="48C8F22C" w14:textId="77777777" w:rsidR="007C6891" w:rsidRDefault="004A17CB">
            <w:pPr>
              <w:pStyle w:val="TableHeader"/>
              <w:keepNext/>
            </w:pPr>
            <w:r>
              <w:t>Code-free</w:t>
            </w:r>
          </w:p>
        </w:tc>
        <w:tc>
          <w:tcPr>
            <w:tcW w:w="1337" w:type="dxa"/>
            <w:shd w:val="clear" w:color="auto" w:fill="1F5132"/>
          </w:tcPr>
          <w:p w14:paraId="5FFF65F0" w14:textId="77777777" w:rsidR="007C6891" w:rsidRDefault="004A17CB">
            <w:pPr>
              <w:pStyle w:val="TableHeader"/>
              <w:keepNext/>
            </w:pPr>
            <w:r>
              <w:t>Retrain on user data</w:t>
            </w:r>
          </w:p>
        </w:tc>
        <w:tc>
          <w:tcPr>
            <w:tcW w:w="1337" w:type="dxa"/>
            <w:shd w:val="clear" w:color="auto" w:fill="1F5132"/>
          </w:tcPr>
          <w:p w14:paraId="63F68DDD" w14:textId="77777777" w:rsidR="007C6891" w:rsidRDefault="004A17CB">
            <w:pPr>
              <w:pStyle w:val="TableHeader"/>
              <w:keepNext/>
            </w:pPr>
            <w:r>
              <w:t>Architecture breadth</w:t>
            </w:r>
          </w:p>
        </w:tc>
        <w:tc>
          <w:tcPr>
            <w:tcW w:w="1337" w:type="dxa"/>
            <w:shd w:val="clear" w:color="auto" w:fill="1F5132"/>
          </w:tcPr>
          <w:p w14:paraId="04AD43C9" w14:textId="77777777" w:rsidR="007C6891" w:rsidRDefault="004A17CB">
            <w:pPr>
              <w:pStyle w:val="TableHeader"/>
              <w:keepNext/>
            </w:pPr>
            <w:r>
              <w:t>Suites benchmarked</w:t>
            </w:r>
          </w:p>
        </w:tc>
        <w:tc>
          <w:tcPr>
            <w:tcW w:w="1337" w:type="dxa"/>
            <w:shd w:val="clear" w:color="auto" w:fill="1F5132"/>
          </w:tcPr>
          <w:p w14:paraId="060E2A19" w14:textId="77777777" w:rsidR="007C6891" w:rsidRDefault="004A17CB">
            <w:pPr>
              <w:pStyle w:val="TableHeader"/>
              <w:keepNext/>
            </w:pPr>
            <w:r>
              <w:t>Published TDC ADMET performance</w:t>
            </w:r>
          </w:p>
        </w:tc>
      </w:tr>
      <w:tr w:rsidR="007C6891" w14:paraId="593F637D" w14:textId="77777777">
        <w:trPr>
          <w:cantSplit/>
        </w:trPr>
        <w:tc>
          <w:tcPr>
            <w:tcW w:w="1337" w:type="dxa"/>
          </w:tcPr>
          <w:p w14:paraId="6E8A33B6" w14:textId="77777777" w:rsidR="007C6891" w:rsidRDefault="004A17CB">
            <w:pPr>
              <w:pStyle w:val="TableBody"/>
              <w:keepNext/>
            </w:pPr>
            <w:r>
              <w:rPr>
                <w:b/>
              </w:rPr>
              <w:t>[PACKAGE]</w:t>
            </w:r>
            <w:r>
              <w:t xml:space="preserve"> (this work)</w:t>
            </w:r>
          </w:p>
        </w:tc>
        <w:tc>
          <w:tcPr>
            <w:tcW w:w="1337" w:type="dxa"/>
          </w:tcPr>
          <w:p w14:paraId="46EEC4B4" w14:textId="77777777" w:rsidR="007C6891" w:rsidRDefault="004A17CB">
            <w:pPr>
              <w:pStyle w:val="TableBody"/>
              <w:keepNext/>
            </w:pPr>
            <w:r>
              <w:t>Open, MIT</w:t>
            </w:r>
          </w:p>
        </w:tc>
        <w:tc>
          <w:tcPr>
            <w:tcW w:w="1337" w:type="dxa"/>
          </w:tcPr>
          <w:p w14:paraId="50FD0355" w14:textId="77777777" w:rsidR="007C6891" w:rsidRDefault="004A17CB">
            <w:pPr>
              <w:pStyle w:val="TableBody"/>
              <w:keepNext/>
            </w:pPr>
            <w:r>
              <w:rPr>
                <w:b/>
              </w:rPr>
              <w:t>Yes</w:t>
            </w:r>
            <w:r>
              <w:t xml:space="preserve"> (Colab notebook + CLI)</w:t>
            </w:r>
          </w:p>
        </w:tc>
        <w:tc>
          <w:tcPr>
            <w:tcW w:w="1337" w:type="dxa"/>
          </w:tcPr>
          <w:p w14:paraId="1575BAD5" w14:textId="77777777" w:rsidR="007C6891" w:rsidRDefault="004A17CB">
            <w:pPr>
              <w:pStyle w:val="TableBody"/>
              <w:keepNext/>
            </w:pPr>
            <w:r>
              <w:t>Yes</w:t>
            </w:r>
          </w:p>
        </w:tc>
        <w:tc>
          <w:tcPr>
            <w:tcW w:w="1337" w:type="dxa"/>
          </w:tcPr>
          <w:p w14:paraId="608D46E2" w14:textId="77777777" w:rsidR="007C6891" w:rsidRDefault="004A17CB">
            <w:pPr>
              <w:pStyle w:val="TableBody"/>
              <w:keepNext/>
            </w:pPr>
            <w:r>
              <w:t>28 models, 7 families (conventional ML, gradient boosting, deep tabular, D-MPNN GNN, 3D-pretrained, hybrid, fusion)</w:t>
            </w:r>
          </w:p>
        </w:tc>
        <w:tc>
          <w:tcPr>
            <w:tcW w:w="1337" w:type="dxa"/>
          </w:tcPr>
          <w:p w14:paraId="26E52D36" w14:textId="77777777" w:rsidR="007C6891" w:rsidRDefault="004A17CB">
            <w:pPr>
              <w:pStyle w:val="TableBody"/>
              <w:keepNext/>
            </w:pPr>
            <w:r>
              <w:rPr>
                <w:b/>
              </w:rPr>
              <w:t>5</w:t>
            </w:r>
            <w:r>
              <w:t xml:space="preserve"> (TDC, Polaris, MoleculeNet, ChemML, PODUAM)</w:t>
            </w:r>
          </w:p>
        </w:tc>
        <w:tc>
          <w:tcPr>
            <w:tcW w:w="1337" w:type="dxa"/>
          </w:tcPr>
          <w:p w14:paraId="410433AE" w14:textId="77777777" w:rsidR="007C6891" w:rsidRDefault="004A17CB">
            <w:pPr>
              <w:pStyle w:val="TableBody"/>
              <w:keepNext/>
            </w:pPr>
            <w:r>
              <w:t>Estimated top-10 on 22/22 TDC (test-selected); 15/22, median rank ~8 under honest CV selection</w:t>
            </w:r>
          </w:p>
        </w:tc>
      </w:tr>
      <w:tr w:rsidR="007C6891" w14:paraId="7C305747" w14:textId="77777777">
        <w:trPr>
          <w:cantSplit/>
        </w:trPr>
        <w:tc>
          <w:tcPr>
            <w:tcW w:w="1337" w:type="dxa"/>
          </w:tcPr>
          <w:p w14:paraId="6FD8A4F9" w14:textId="77777777" w:rsidR="007C6891" w:rsidRDefault="004A17CB">
            <w:pPr>
              <w:pStyle w:val="TableBody"/>
              <w:keepNext/>
            </w:pPr>
            <w:r>
              <w:rPr>
                <w:b/>
              </w:rPr>
              <w:t>ADMET-AI</w:t>
            </w:r>
            <w:r>
              <w:t xml:space="preserve"> [Swanson 2024]</w:t>
            </w:r>
          </w:p>
        </w:tc>
        <w:tc>
          <w:tcPr>
            <w:tcW w:w="1337" w:type="dxa"/>
          </w:tcPr>
          <w:p w14:paraId="653DDA3E" w14:textId="77777777" w:rsidR="007C6891" w:rsidRDefault="004A17CB">
            <w:pPr>
              <w:pStyle w:val="TableBody"/>
              <w:keepNext/>
            </w:pPr>
            <w:r>
              <w:t>Open, MIT</w:t>
            </w:r>
          </w:p>
        </w:tc>
        <w:tc>
          <w:tcPr>
            <w:tcW w:w="1337" w:type="dxa"/>
          </w:tcPr>
          <w:p w14:paraId="10EA6B0C" w14:textId="77777777" w:rsidR="007C6891" w:rsidRDefault="004A17CB">
            <w:pPr>
              <w:pStyle w:val="TableBody"/>
              <w:keepNext/>
            </w:pPr>
            <w:r>
              <w:t>Partial (web + CLI)</w:t>
            </w:r>
          </w:p>
        </w:tc>
        <w:tc>
          <w:tcPr>
            <w:tcW w:w="1337" w:type="dxa"/>
          </w:tcPr>
          <w:p w14:paraId="0C195BC4" w14:textId="77777777" w:rsidR="007C6891" w:rsidRDefault="004A17CB">
            <w:pPr>
              <w:pStyle w:val="TableBody"/>
              <w:keepNext/>
            </w:pPr>
            <w:r>
              <w:t>Via code</w:t>
            </w:r>
          </w:p>
        </w:tc>
        <w:tc>
          <w:tcPr>
            <w:tcW w:w="1337" w:type="dxa"/>
          </w:tcPr>
          <w:p w14:paraId="43E22EB7" w14:textId="77777777" w:rsidR="007C6891" w:rsidRDefault="004A17CB">
            <w:pPr>
              <w:pStyle w:val="TableBody"/>
              <w:keepNext/>
            </w:pPr>
            <w:r>
              <w:t>1 (Chemprop-RDKit GNN)</w:t>
            </w:r>
          </w:p>
        </w:tc>
        <w:tc>
          <w:tcPr>
            <w:tcW w:w="1337" w:type="dxa"/>
          </w:tcPr>
          <w:p w14:paraId="57270B61" w14:textId="77777777" w:rsidR="007C6891" w:rsidRDefault="004A17CB">
            <w:pPr>
              <w:pStyle w:val="TableBody"/>
              <w:keepNext/>
            </w:pPr>
            <w:r>
              <w:t>1 (TDC, 41 datasets)</w:t>
            </w:r>
          </w:p>
        </w:tc>
        <w:tc>
          <w:tcPr>
            <w:tcW w:w="1337" w:type="dxa"/>
          </w:tcPr>
          <w:p w14:paraId="0FEC6D78" w14:textId="77777777" w:rsidR="007C6891" w:rsidRDefault="004A17CB">
            <w:pPr>
              <w:pStyle w:val="TableBody"/>
              <w:keepNext/>
            </w:pPr>
            <w:r>
              <w:t xml:space="preserve">Highest </w:t>
            </w:r>
            <w:r>
              <w:rPr>
                <w:i/>
              </w:rPr>
              <w:t>average</w:t>
            </w:r>
            <w:r>
              <w:t xml:space="preserve"> rank on TDC ADMET leaderboard (self-reported, 2024)</w:t>
            </w:r>
          </w:p>
        </w:tc>
      </w:tr>
      <w:tr w:rsidR="007C6891" w14:paraId="4E3840DC" w14:textId="77777777">
        <w:trPr>
          <w:cantSplit/>
        </w:trPr>
        <w:tc>
          <w:tcPr>
            <w:tcW w:w="1337" w:type="dxa"/>
          </w:tcPr>
          <w:p w14:paraId="659131F5" w14:textId="77777777" w:rsidR="007C6891" w:rsidRDefault="004A17CB">
            <w:pPr>
              <w:pStyle w:val="TableBody"/>
              <w:keepNext/>
            </w:pPr>
            <w:r>
              <w:rPr>
                <w:b/>
              </w:rPr>
              <w:t>DeepAutoQSAR / AutoQSAR</w:t>
            </w:r>
            <w:r>
              <w:t xml:space="preserve"> [Kaplan 2022; Dixon 2016]</w:t>
            </w:r>
          </w:p>
        </w:tc>
        <w:tc>
          <w:tcPr>
            <w:tcW w:w="1337" w:type="dxa"/>
          </w:tcPr>
          <w:p w14:paraId="0E3664E4" w14:textId="77777777" w:rsidR="007C6891" w:rsidRDefault="004A17CB">
            <w:pPr>
              <w:pStyle w:val="TableBody"/>
              <w:keepNext/>
            </w:pPr>
            <w:r>
              <w:rPr>
                <w:b/>
              </w:rPr>
              <w:t>Commercial</w:t>
            </w:r>
            <w:r>
              <w:t xml:space="preserve"> (Schrödinger)</w:t>
            </w:r>
          </w:p>
        </w:tc>
        <w:tc>
          <w:tcPr>
            <w:tcW w:w="1337" w:type="dxa"/>
          </w:tcPr>
          <w:p w14:paraId="57C92CFC" w14:textId="77777777" w:rsidR="007C6891" w:rsidRDefault="004A17CB">
            <w:pPr>
              <w:pStyle w:val="TableBody"/>
              <w:keepNext/>
            </w:pPr>
            <w:r>
              <w:t>Yes (Maestro GUI + CLI)</w:t>
            </w:r>
          </w:p>
        </w:tc>
        <w:tc>
          <w:tcPr>
            <w:tcW w:w="1337" w:type="dxa"/>
          </w:tcPr>
          <w:p w14:paraId="5BCF9530" w14:textId="77777777" w:rsidR="007C6891" w:rsidRDefault="004A17CB">
            <w:pPr>
              <w:pStyle w:val="TableBody"/>
              <w:keepNext/>
            </w:pPr>
            <w:r>
              <w:t>Yes</w:t>
            </w:r>
          </w:p>
        </w:tc>
        <w:tc>
          <w:tcPr>
            <w:tcW w:w="1337" w:type="dxa"/>
          </w:tcPr>
          <w:p w14:paraId="459B43E1" w14:textId="77777777" w:rsidR="007C6891" w:rsidRDefault="004A17CB">
            <w:pPr>
              <w:pStyle w:val="TableBody"/>
              <w:keepNext/>
            </w:pPr>
            <w:r>
              <w:t>Multi-method ML + DeepChem GNN</w:t>
            </w:r>
          </w:p>
        </w:tc>
        <w:tc>
          <w:tcPr>
            <w:tcW w:w="1337" w:type="dxa"/>
          </w:tcPr>
          <w:p w14:paraId="7087E8B9" w14:textId="77777777" w:rsidR="007C6891" w:rsidRDefault="004A17CB">
            <w:pPr>
              <w:pStyle w:val="TableBody"/>
              <w:keepNext/>
            </w:pPr>
            <w:r>
              <w:t>1 (TDC)</w:t>
            </w:r>
          </w:p>
        </w:tc>
        <w:tc>
          <w:tcPr>
            <w:tcW w:w="1337" w:type="dxa"/>
          </w:tcPr>
          <w:p w14:paraId="28F8072E" w14:textId="77777777" w:rsidR="007C6891" w:rsidRDefault="004A17CB">
            <w:pPr>
              <w:pStyle w:val="TableBody"/>
              <w:keepNext/>
            </w:pPr>
            <w:r>
              <w:t>Top-performing in 20/22; clearly best in 9/22</w:t>
            </w:r>
          </w:p>
        </w:tc>
      </w:tr>
      <w:tr w:rsidR="007C6891" w14:paraId="386CDD8E" w14:textId="77777777">
        <w:trPr>
          <w:cantSplit/>
        </w:trPr>
        <w:tc>
          <w:tcPr>
            <w:tcW w:w="1337" w:type="dxa"/>
          </w:tcPr>
          <w:p w14:paraId="5F1D06E5" w14:textId="77777777" w:rsidR="007C6891" w:rsidRDefault="004A17CB">
            <w:pPr>
              <w:pStyle w:val="TableBody"/>
              <w:keepNext/>
            </w:pPr>
            <w:r>
              <w:rPr>
                <w:b/>
              </w:rPr>
              <w:t>QSARtuna</w:t>
            </w:r>
            <w:r>
              <w:t xml:space="preserve"> [Mervin 2024]</w:t>
            </w:r>
          </w:p>
        </w:tc>
        <w:tc>
          <w:tcPr>
            <w:tcW w:w="1337" w:type="dxa"/>
          </w:tcPr>
          <w:p w14:paraId="779E6A43" w14:textId="77777777" w:rsidR="007C6891" w:rsidRDefault="004A17CB">
            <w:pPr>
              <w:pStyle w:val="TableBody"/>
              <w:keepNext/>
            </w:pPr>
            <w:r>
              <w:t>Open, Apache-2.0</w:t>
            </w:r>
          </w:p>
        </w:tc>
        <w:tc>
          <w:tcPr>
            <w:tcW w:w="1337" w:type="dxa"/>
          </w:tcPr>
          <w:p w14:paraId="135F7BD6" w14:textId="77777777" w:rsidR="007C6891" w:rsidRDefault="004A17CB">
            <w:pPr>
              <w:pStyle w:val="TableBody"/>
              <w:keepNext/>
            </w:pPr>
            <w:r>
              <w:t>No (Python + CLI)</w:t>
            </w:r>
          </w:p>
        </w:tc>
        <w:tc>
          <w:tcPr>
            <w:tcW w:w="1337" w:type="dxa"/>
          </w:tcPr>
          <w:p w14:paraId="511E7F02" w14:textId="77777777" w:rsidR="007C6891" w:rsidRDefault="004A17CB">
            <w:pPr>
              <w:pStyle w:val="TableBody"/>
              <w:keepNext/>
            </w:pPr>
            <w:r>
              <w:t>Yes</w:t>
            </w:r>
          </w:p>
        </w:tc>
        <w:tc>
          <w:tcPr>
            <w:tcW w:w="1337" w:type="dxa"/>
          </w:tcPr>
          <w:p w14:paraId="19FB4765" w14:textId="77777777" w:rsidR="007C6891" w:rsidRDefault="004A17CB">
            <w:pPr>
              <w:pStyle w:val="TableBody"/>
              <w:keepNext/>
            </w:pPr>
            <w:r>
              <w:t>Representations × ML via Optuna HPO; + ChemProp; UQ + explainability</w:t>
            </w:r>
          </w:p>
        </w:tc>
        <w:tc>
          <w:tcPr>
            <w:tcW w:w="1337" w:type="dxa"/>
          </w:tcPr>
          <w:p w14:paraId="57EEB519" w14:textId="77777777" w:rsidR="007C6891" w:rsidRDefault="004A17CB">
            <w:pPr>
              <w:pStyle w:val="TableBody"/>
              <w:keepNext/>
            </w:pPr>
            <w:r>
              <w:t>0 (illustrative examples)</w:t>
            </w:r>
          </w:p>
        </w:tc>
        <w:tc>
          <w:tcPr>
            <w:tcW w:w="1337" w:type="dxa"/>
          </w:tcPr>
          <w:p w14:paraId="7BA65DE4" w14:textId="77777777" w:rsidR="007C6891" w:rsidRDefault="004A17CB">
            <w:pPr>
              <w:pStyle w:val="TableBody"/>
              <w:keepNext/>
            </w:pPr>
            <w:r>
              <w:t>—</w:t>
            </w:r>
          </w:p>
        </w:tc>
      </w:tr>
      <w:tr w:rsidR="007C6891" w14:paraId="65715F07" w14:textId="77777777">
        <w:trPr>
          <w:cantSplit/>
        </w:trPr>
        <w:tc>
          <w:tcPr>
            <w:tcW w:w="1337" w:type="dxa"/>
          </w:tcPr>
          <w:p w14:paraId="437C4F73" w14:textId="77777777" w:rsidR="007C6891" w:rsidRDefault="004A17CB">
            <w:pPr>
              <w:pStyle w:val="TableBody"/>
              <w:keepNext/>
            </w:pPr>
            <w:r>
              <w:rPr>
                <w:b/>
              </w:rPr>
              <w:t>ZairaChem</w:t>
            </w:r>
            <w:r>
              <w:t xml:space="preserve"> [Turon 2023]</w:t>
            </w:r>
          </w:p>
        </w:tc>
        <w:tc>
          <w:tcPr>
            <w:tcW w:w="1337" w:type="dxa"/>
          </w:tcPr>
          <w:p w14:paraId="1300D7D4" w14:textId="77777777" w:rsidR="007C6891" w:rsidRDefault="004A17CB">
            <w:pPr>
              <w:pStyle w:val="TableBody"/>
              <w:keepNext/>
            </w:pPr>
            <w:r>
              <w:t>Open, GPL-3.0</w:t>
            </w:r>
          </w:p>
        </w:tc>
        <w:tc>
          <w:tcPr>
            <w:tcW w:w="1337" w:type="dxa"/>
          </w:tcPr>
          <w:p w14:paraId="2264ACD2" w14:textId="77777777" w:rsidR="007C6891" w:rsidRDefault="004A17CB">
            <w:pPr>
              <w:pStyle w:val="TableBody"/>
              <w:keepNext/>
            </w:pPr>
            <w:r>
              <w:t>No (CLI)</w:t>
            </w:r>
          </w:p>
        </w:tc>
        <w:tc>
          <w:tcPr>
            <w:tcW w:w="1337" w:type="dxa"/>
          </w:tcPr>
          <w:p w14:paraId="0B46AEBD" w14:textId="77777777" w:rsidR="007C6891" w:rsidRDefault="004A17CB">
            <w:pPr>
              <w:pStyle w:val="TableBody"/>
              <w:keepNext/>
            </w:pPr>
            <w:r>
              <w:t>Yes</w:t>
            </w:r>
          </w:p>
        </w:tc>
        <w:tc>
          <w:tcPr>
            <w:tcW w:w="1337" w:type="dxa"/>
          </w:tcPr>
          <w:p w14:paraId="31AA2FD9" w14:textId="77777777" w:rsidR="007C6891" w:rsidRDefault="004A17CB">
            <w:pPr>
              <w:pStyle w:val="TableBody"/>
              <w:keepNext/>
            </w:pPr>
            <w:r>
              <w:t>AutoML ensemble of many descriptors + Model-Hub features; distillation</w:t>
            </w:r>
          </w:p>
        </w:tc>
        <w:tc>
          <w:tcPr>
            <w:tcW w:w="1337" w:type="dxa"/>
          </w:tcPr>
          <w:p w14:paraId="68FA7198" w14:textId="77777777" w:rsidR="007C6891" w:rsidRDefault="004A17CB">
            <w:pPr>
              <w:pStyle w:val="TableBody"/>
              <w:keepNext/>
            </w:pPr>
            <w:r>
              <w:t>1 (TDC, classification only)</w:t>
            </w:r>
          </w:p>
        </w:tc>
        <w:tc>
          <w:tcPr>
            <w:tcW w:w="1337" w:type="dxa"/>
          </w:tcPr>
          <w:p w14:paraId="6AE4C549" w14:textId="77777777" w:rsidR="007C6891" w:rsidRDefault="004A17CB">
            <w:pPr>
              <w:pStyle w:val="TableBody"/>
              <w:keepNext/>
            </w:pPr>
            <w:r>
              <w:t>SOTA out-of-box on TDC classification tasks</w:t>
            </w:r>
          </w:p>
        </w:tc>
      </w:tr>
      <w:tr w:rsidR="007C6891" w14:paraId="702ED560" w14:textId="77777777">
        <w:trPr>
          <w:cantSplit/>
        </w:trPr>
        <w:tc>
          <w:tcPr>
            <w:tcW w:w="1337" w:type="dxa"/>
          </w:tcPr>
          <w:p w14:paraId="495783C2" w14:textId="77777777" w:rsidR="007C6891" w:rsidRDefault="004A17CB">
            <w:pPr>
              <w:pStyle w:val="TableBody"/>
              <w:keepNext/>
            </w:pPr>
            <w:r>
              <w:rPr>
                <w:b/>
              </w:rPr>
              <w:t>QSPRpred</w:t>
            </w:r>
            <w:r>
              <w:t xml:space="preserve"> [van den Maagdenberg 2024]</w:t>
            </w:r>
          </w:p>
        </w:tc>
        <w:tc>
          <w:tcPr>
            <w:tcW w:w="1337" w:type="dxa"/>
          </w:tcPr>
          <w:p w14:paraId="3D6678C0" w14:textId="77777777" w:rsidR="007C6891" w:rsidRDefault="004A17CB">
            <w:pPr>
              <w:pStyle w:val="TableBody"/>
              <w:keepNext/>
            </w:pPr>
            <w:r>
              <w:t>Open</w:t>
            </w:r>
          </w:p>
        </w:tc>
        <w:tc>
          <w:tcPr>
            <w:tcW w:w="1337" w:type="dxa"/>
          </w:tcPr>
          <w:p w14:paraId="1F333E56" w14:textId="77777777" w:rsidR="007C6891" w:rsidRDefault="004A17CB">
            <w:pPr>
              <w:pStyle w:val="TableBody"/>
              <w:keepNext/>
            </w:pPr>
            <w:r>
              <w:t>No (Python library)</w:t>
            </w:r>
          </w:p>
        </w:tc>
        <w:tc>
          <w:tcPr>
            <w:tcW w:w="1337" w:type="dxa"/>
          </w:tcPr>
          <w:p w14:paraId="0BEB21E4" w14:textId="77777777" w:rsidR="007C6891" w:rsidRDefault="004A17CB">
            <w:pPr>
              <w:pStyle w:val="TableBody"/>
              <w:keepNext/>
            </w:pPr>
            <w:r>
              <w:t>Yes</w:t>
            </w:r>
          </w:p>
        </w:tc>
        <w:tc>
          <w:tcPr>
            <w:tcW w:w="1337" w:type="dxa"/>
          </w:tcPr>
          <w:p w14:paraId="567FE797" w14:textId="77777777" w:rsidR="007C6891" w:rsidRDefault="004A17CB">
            <w:pPr>
              <w:pStyle w:val="TableBody"/>
              <w:keepNext/>
            </w:pPr>
            <w:r>
              <w:t>Flexible descriptors × ML</w:t>
            </w:r>
          </w:p>
        </w:tc>
        <w:tc>
          <w:tcPr>
            <w:tcW w:w="1337" w:type="dxa"/>
          </w:tcPr>
          <w:p w14:paraId="03E47BCD" w14:textId="77777777" w:rsidR="007C6891" w:rsidRDefault="004A17CB">
            <w:pPr>
              <w:pStyle w:val="TableBody"/>
              <w:keepNext/>
            </w:pPr>
            <w:r>
              <w:t>0 (framework)</w:t>
            </w:r>
          </w:p>
        </w:tc>
        <w:tc>
          <w:tcPr>
            <w:tcW w:w="1337" w:type="dxa"/>
          </w:tcPr>
          <w:p w14:paraId="6F6E292F" w14:textId="77777777" w:rsidR="007C6891" w:rsidRDefault="004A17CB">
            <w:pPr>
              <w:pStyle w:val="TableBody"/>
              <w:keepNext/>
            </w:pPr>
            <w:r>
              <w:t>—</w:t>
            </w:r>
          </w:p>
        </w:tc>
      </w:tr>
      <w:tr w:rsidR="007C6891" w14:paraId="0C159804" w14:textId="77777777">
        <w:trPr>
          <w:cantSplit/>
        </w:trPr>
        <w:tc>
          <w:tcPr>
            <w:tcW w:w="1337" w:type="dxa"/>
          </w:tcPr>
          <w:p w14:paraId="4FBCB3E4" w14:textId="77777777" w:rsidR="007C6891" w:rsidRDefault="004A17CB">
            <w:pPr>
              <w:pStyle w:val="TableBody"/>
              <w:keepNext/>
            </w:pPr>
            <w:r>
              <w:rPr>
                <w:b/>
              </w:rPr>
              <w:lastRenderedPageBreak/>
              <w:t>DeepMol</w:t>
            </w:r>
            <w:r>
              <w:t xml:space="preserve"> [Correia 2024]</w:t>
            </w:r>
          </w:p>
        </w:tc>
        <w:tc>
          <w:tcPr>
            <w:tcW w:w="1337" w:type="dxa"/>
          </w:tcPr>
          <w:p w14:paraId="154E20F3" w14:textId="77777777" w:rsidR="007C6891" w:rsidRDefault="004A17CB">
            <w:pPr>
              <w:pStyle w:val="TableBody"/>
              <w:keepNext/>
            </w:pPr>
            <w:r>
              <w:t>Open, Apache</w:t>
            </w:r>
          </w:p>
        </w:tc>
        <w:tc>
          <w:tcPr>
            <w:tcW w:w="1337" w:type="dxa"/>
          </w:tcPr>
          <w:p w14:paraId="7152CC10" w14:textId="77777777" w:rsidR="007C6891" w:rsidRDefault="004A17CB">
            <w:pPr>
              <w:pStyle w:val="TableBody"/>
              <w:keepNext/>
            </w:pPr>
            <w:r>
              <w:t>No (Python)</w:t>
            </w:r>
          </w:p>
        </w:tc>
        <w:tc>
          <w:tcPr>
            <w:tcW w:w="1337" w:type="dxa"/>
          </w:tcPr>
          <w:p w14:paraId="106B6E16" w14:textId="77777777" w:rsidR="007C6891" w:rsidRDefault="004A17CB">
            <w:pPr>
              <w:pStyle w:val="TableBody"/>
              <w:keepNext/>
            </w:pPr>
            <w:r>
              <w:t>Yes</w:t>
            </w:r>
          </w:p>
        </w:tc>
        <w:tc>
          <w:tcPr>
            <w:tcW w:w="1337" w:type="dxa"/>
          </w:tcPr>
          <w:p w14:paraId="046B079B" w14:textId="77777777" w:rsidR="007C6891" w:rsidRDefault="004A17CB">
            <w:pPr>
              <w:pStyle w:val="TableBody"/>
              <w:keepNext/>
            </w:pPr>
            <w:r>
              <w:t>AutoML over many models</w:t>
            </w:r>
          </w:p>
        </w:tc>
        <w:tc>
          <w:tcPr>
            <w:tcW w:w="1337" w:type="dxa"/>
          </w:tcPr>
          <w:p w14:paraId="190F6EF9" w14:textId="77777777" w:rsidR="007C6891" w:rsidRDefault="004A17CB">
            <w:pPr>
              <w:pStyle w:val="TableBody"/>
              <w:keepNext/>
            </w:pPr>
            <w:r>
              <w:t>1 (22 TDC)</w:t>
            </w:r>
          </w:p>
        </w:tc>
        <w:tc>
          <w:tcPr>
            <w:tcW w:w="1337" w:type="dxa"/>
          </w:tcPr>
          <w:p w14:paraId="0020F9A3" w14:textId="77777777" w:rsidR="007C6891" w:rsidRDefault="004A17CB">
            <w:pPr>
              <w:pStyle w:val="TableBody"/>
              <w:keepNext/>
            </w:pPr>
            <w:r>
              <w:t>Competitive pipelines across 22 TDC datasets</w:t>
            </w:r>
          </w:p>
        </w:tc>
      </w:tr>
      <w:tr w:rsidR="007C6891" w14:paraId="509DF6CA" w14:textId="77777777">
        <w:trPr>
          <w:cantSplit/>
        </w:trPr>
        <w:tc>
          <w:tcPr>
            <w:tcW w:w="1337" w:type="dxa"/>
          </w:tcPr>
          <w:p w14:paraId="337594F7" w14:textId="77777777" w:rsidR="007C6891" w:rsidRDefault="004A17CB">
            <w:pPr>
              <w:pStyle w:val="TableBody"/>
              <w:keepNext/>
            </w:pPr>
            <w:r>
              <w:rPr>
                <w:b/>
              </w:rPr>
              <w:t>DeepPurpose</w:t>
            </w:r>
            <w:r>
              <w:t xml:space="preserve"> [Huang 2020]</w:t>
            </w:r>
          </w:p>
        </w:tc>
        <w:tc>
          <w:tcPr>
            <w:tcW w:w="1337" w:type="dxa"/>
          </w:tcPr>
          <w:p w14:paraId="40E0A2D6" w14:textId="77777777" w:rsidR="007C6891" w:rsidRDefault="004A17CB">
            <w:pPr>
              <w:pStyle w:val="TableBody"/>
              <w:keepNext/>
            </w:pPr>
            <w:r>
              <w:t>Open</w:t>
            </w:r>
          </w:p>
        </w:tc>
        <w:tc>
          <w:tcPr>
            <w:tcW w:w="1337" w:type="dxa"/>
          </w:tcPr>
          <w:p w14:paraId="04D3B18B" w14:textId="77777777" w:rsidR="007C6891" w:rsidRDefault="004A17CB">
            <w:pPr>
              <w:pStyle w:val="TableBody"/>
              <w:keepNext/>
            </w:pPr>
            <w:r>
              <w:t>No (Python, few lines)</w:t>
            </w:r>
          </w:p>
        </w:tc>
        <w:tc>
          <w:tcPr>
            <w:tcW w:w="1337" w:type="dxa"/>
          </w:tcPr>
          <w:p w14:paraId="484EC95C" w14:textId="77777777" w:rsidR="007C6891" w:rsidRDefault="004A17CB">
            <w:pPr>
              <w:pStyle w:val="TableBody"/>
              <w:keepNext/>
            </w:pPr>
            <w:r>
              <w:t>Yes</w:t>
            </w:r>
          </w:p>
        </w:tc>
        <w:tc>
          <w:tcPr>
            <w:tcW w:w="1337" w:type="dxa"/>
          </w:tcPr>
          <w:p w14:paraId="118F9A2D" w14:textId="77777777" w:rsidR="007C6891" w:rsidRDefault="004A17CB">
            <w:pPr>
              <w:pStyle w:val="TableBody"/>
              <w:keepNext/>
            </w:pPr>
            <w:r>
              <w:t>15+ encoders, 50+ models</w:t>
            </w:r>
          </w:p>
        </w:tc>
        <w:tc>
          <w:tcPr>
            <w:tcW w:w="1337" w:type="dxa"/>
          </w:tcPr>
          <w:p w14:paraId="4D1A7C53" w14:textId="77777777" w:rsidR="007C6891" w:rsidRDefault="004A17CB">
            <w:pPr>
              <w:pStyle w:val="TableBody"/>
              <w:keepNext/>
            </w:pPr>
            <w:r>
              <w:t>TDC loader (baselines)</w:t>
            </w:r>
          </w:p>
        </w:tc>
        <w:tc>
          <w:tcPr>
            <w:tcW w:w="1337" w:type="dxa"/>
          </w:tcPr>
          <w:p w14:paraId="0C205D0A" w14:textId="77777777" w:rsidR="007C6891" w:rsidRDefault="004A17CB">
            <w:pPr>
              <w:pStyle w:val="TableBody"/>
              <w:keepNext/>
            </w:pPr>
            <w:r>
              <w:t>Used as TDC baselines</w:t>
            </w:r>
          </w:p>
        </w:tc>
      </w:tr>
      <w:tr w:rsidR="007C6891" w14:paraId="36163664" w14:textId="77777777">
        <w:trPr>
          <w:cantSplit/>
        </w:trPr>
        <w:tc>
          <w:tcPr>
            <w:tcW w:w="1337" w:type="dxa"/>
          </w:tcPr>
          <w:p w14:paraId="57117906" w14:textId="77777777" w:rsidR="007C6891" w:rsidRDefault="004A17CB">
            <w:pPr>
              <w:pStyle w:val="TableBody"/>
              <w:keepNext/>
            </w:pPr>
            <w:r>
              <w:rPr>
                <w:b/>
              </w:rPr>
              <w:t>ChemXploreML</w:t>
            </w:r>
            <w:r>
              <w:t xml:space="preserve"> [Marimuthu 2025]</w:t>
            </w:r>
          </w:p>
        </w:tc>
        <w:tc>
          <w:tcPr>
            <w:tcW w:w="1337" w:type="dxa"/>
          </w:tcPr>
          <w:p w14:paraId="545CCC9F" w14:textId="77777777" w:rsidR="007C6891" w:rsidRDefault="004A17CB">
            <w:pPr>
              <w:pStyle w:val="TableBody"/>
              <w:keepNext/>
            </w:pPr>
            <w:r>
              <w:t>Open</w:t>
            </w:r>
          </w:p>
        </w:tc>
        <w:tc>
          <w:tcPr>
            <w:tcW w:w="1337" w:type="dxa"/>
          </w:tcPr>
          <w:p w14:paraId="0722C9C1" w14:textId="77777777" w:rsidR="007C6891" w:rsidRDefault="004A17CB">
            <w:pPr>
              <w:pStyle w:val="TableBody"/>
              <w:keepNext/>
            </w:pPr>
            <w:r>
              <w:rPr>
                <w:b/>
              </w:rPr>
              <w:t>Yes</w:t>
            </w:r>
            <w:r>
              <w:t xml:space="preserve"> (desktop GUI)</w:t>
            </w:r>
          </w:p>
        </w:tc>
        <w:tc>
          <w:tcPr>
            <w:tcW w:w="1337" w:type="dxa"/>
          </w:tcPr>
          <w:p w14:paraId="5CA2AA5B" w14:textId="77777777" w:rsidR="007C6891" w:rsidRDefault="004A17CB">
            <w:pPr>
              <w:pStyle w:val="TableBody"/>
              <w:keepNext/>
            </w:pPr>
            <w:r>
              <w:t>Yes</w:t>
            </w:r>
          </w:p>
        </w:tc>
        <w:tc>
          <w:tcPr>
            <w:tcW w:w="1337" w:type="dxa"/>
          </w:tcPr>
          <w:p w14:paraId="676E5C91" w14:textId="77777777" w:rsidR="007C6891" w:rsidRDefault="004A17CB">
            <w:pPr>
              <w:pStyle w:val="TableBody"/>
              <w:keepNext/>
            </w:pPr>
            <w:r>
              <w:t>Few embeddings + tree ensembles</w:t>
            </w:r>
          </w:p>
        </w:tc>
        <w:tc>
          <w:tcPr>
            <w:tcW w:w="1337" w:type="dxa"/>
          </w:tcPr>
          <w:p w14:paraId="0FE21C04" w14:textId="77777777" w:rsidR="007C6891" w:rsidRDefault="004A17CB">
            <w:pPr>
              <w:pStyle w:val="TableBody"/>
              <w:keepNext/>
            </w:pPr>
            <w:r>
              <w:t>0 (CRC physicochemical)</w:t>
            </w:r>
          </w:p>
        </w:tc>
        <w:tc>
          <w:tcPr>
            <w:tcW w:w="1337" w:type="dxa"/>
          </w:tcPr>
          <w:p w14:paraId="70598A29" w14:textId="77777777" w:rsidR="007C6891" w:rsidRDefault="004A17CB">
            <w:pPr>
              <w:pStyle w:val="TableBody"/>
              <w:keepNext/>
            </w:pPr>
            <w:r>
              <w:t>—</w:t>
            </w:r>
          </w:p>
        </w:tc>
      </w:tr>
      <w:tr w:rsidR="007C6891" w14:paraId="43CF663B" w14:textId="77777777">
        <w:trPr>
          <w:cantSplit/>
        </w:trPr>
        <w:tc>
          <w:tcPr>
            <w:tcW w:w="1337" w:type="dxa"/>
          </w:tcPr>
          <w:p w14:paraId="0D315899" w14:textId="77777777" w:rsidR="007C6891" w:rsidRDefault="004A17CB">
            <w:pPr>
              <w:pStyle w:val="TableBody"/>
              <w:keepNext/>
            </w:pPr>
            <w:r>
              <w:rPr>
                <w:b/>
              </w:rPr>
              <w:t>ADMET Predictor</w:t>
            </w:r>
            <w:r>
              <w:t xml:space="preserve"> [Simulations Plus]</w:t>
            </w:r>
          </w:p>
        </w:tc>
        <w:tc>
          <w:tcPr>
            <w:tcW w:w="1337" w:type="dxa"/>
          </w:tcPr>
          <w:p w14:paraId="392096E3" w14:textId="77777777" w:rsidR="007C6891" w:rsidRDefault="004A17CB">
            <w:pPr>
              <w:pStyle w:val="TableBody"/>
              <w:keepNext/>
            </w:pPr>
            <w:r>
              <w:rPr>
                <w:b/>
              </w:rPr>
              <w:t>Commercial</w:t>
            </w:r>
          </w:p>
        </w:tc>
        <w:tc>
          <w:tcPr>
            <w:tcW w:w="1337" w:type="dxa"/>
          </w:tcPr>
          <w:p w14:paraId="324949DF" w14:textId="77777777" w:rsidR="007C6891" w:rsidRDefault="004A17CB">
            <w:pPr>
              <w:pStyle w:val="TableBody"/>
              <w:keepNext/>
            </w:pPr>
            <w:r>
              <w:t>Yes (GUI + CLI)</w:t>
            </w:r>
          </w:p>
        </w:tc>
        <w:tc>
          <w:tcPr>
            <w:tcW w:w="1337" w:type="dxa"/>
          </w:tcPr>
          <w:p w14:paraId="40A3CDD2" w14:textId="77777777" w:rsidR="007C6891" w:rsidRDefault="004A17CB">
            <w:pPr>
              <w:pStyle w:val="TableBody"/>
              <w:keepNext/>
            </w:pPr>
            <w:r>
              <w:t>Yes</w:t>
            </w:r>
          </w:p>
        </w:tc>
        <w:tc>
          <w:tcPr>
            <w:tcW w:w="1337" w:type="dxa"/>
          </w:tcPr>
          <w:p w14:paraId="671BDB03" w14:textId="77777777" w:rsidR="007C6891" w:rsidRDefault="004A17CB">
            <w:pPr>
              <w:pStyle w:val="TableBody"/>
              <w:keepNext/>
            </w:pPr>
            <w:r>
              <w:t>Proprietary ML (~100 endpoints)</w:t>
            </w:r>
          </w:p>
        </w:tc>
        <w:tc>
          <w:tcPr>
            <w:tcW w:w="1337" w:type="dxa"/>
          </w:tcPr>
          <w:p w14:paraId="32ADE73F" w14:textId="77777777" w:rsidR="007C6891" w:rsidRDefault="004A17CB">
            <w:pPr>
              <w:pStyle w:val="TableBody"/>
              <w:keepNext/>
            </w:pPr>
            <w:r>
              <w:t>Proprietary validation</w:t>
            </w:r>
          </w:p>
        </w:tc>
        <w:tc>
          <w:tcPr>
            <w:tcW w:w="1337" w:type="dxa"/>
          </w:tcPr>
          <w:p w14:paraId="548D179B" w14:textId="77777777" w:rsidR="007C6891" w:rsidRDefault="004A17CB">
            <w:pPr>
              <w:pStyle w:val="TableBody"/>
              <w:keepNext/>
            </w:pPr>
            <w:r>
              <w:t>—</w:t>
            </w:r>
          </w:p>
        </w:tc>
      </w:tr>
      <w:tr w:rsidR="007C6891" w14:paraId="044EE963" w14:textId="77777777">
        <w:trPr>
          <w:cantSplit/>
        </w:trPr>
        <w:tc>
          <w:tcPr>
            <w:tcW w:w="1337" w:type="dxa"/>
          </w:tcPr>
          <w:p w14:paraId="0691C5DF" w14:textId="77777777" w:rsidR="007C6891" w:rsidRDefault="004A17CB">
            <w:pPr>
              <w:pStyle w:val="TableBody"/>
              <w:keepNext/>
            </w:pPr>
            <w:r>
              <w:rPr>
                <w:b/>
              </w:rPr>
              <w:t>StarDrop / Auto-Modeller</w:t>
            </w:r>
            <w:r>
              <w:t xml:space="preserve"> [Optibrium]</w:t>
            </w:r>
          </w:p>
        </w:tc>
        <w:tc>
          <w:tcPr>
            <w:tcW w:w="1337" w:type="dxa"/>
          </w:tcPr>
          <w:p w14:paraId="2160A6B9" w14:textId="77777777" w:rsidR="007C6891" w:rsidRDefault="004A17CB">
            <w:pPr>
              <w:pStyle w:val="TableBody"/>
              <w:keepNext/>
            </w:pPr>
            <w:r>
              <w:rPr>
                <w:b/>
              </w:rPr>
              <w:t>Commercial</w:t>
            </w:r>
          </w:p>
        </w:tc>
        <w:tc>
          <w:tcPr>
            <w:tcW w:w="1337" w:type="dxa"/>
          </w:tcPr>
          <w:p w14:paraId="13E8CF37" w14:textId="77777777" w:rsidR="007C6891" w:rsidRDefault="004A17CB">
            <w:pPr>
              <w:pStyle w:val="TableBody"/>
              <w:keepNext/>
            </w:pPr>
            <w:r>
              <w:t>Yes (GUI)</w:t>
            </w:r>
          </w:p>
        </w:tc>
        <w:tc>
          <w:tcPr>
            <w:tcW w:w="1337" w:type="dxa"/>
          </w:tcPr>
          <w:p w14:paraId="656239CF" w14:textId="77777777" w:rsidR="007C6891" w:rsidRDefault="004A17CB">
            <w:pPr>
              <w:pStyle w:val="TableBody"/>
              <w:keepNext/>
            </w:pPr>
            <w:r>
              <w:t>Yes</w:t>
            </w:r>
          </w:p>
        </w:tc>
        <w:tc>
          <w:tcPr>
            <w:tcW w:w="1337" w:type="dxa"/>
          </w:tcPr>
          <w:p w14:paraId="0450A952" w14:textId="77777777" w:rsidR="007C6891" w:rsidRDefault="004A17CB">
            <w:pPr>
              <w:pStyle w:val="TableBody"/>
              <w:keepNext/>
            </w:pPr>
            <w:r>
              <w:t>PLS, RF, SVM, GP</w:t>
            </w:r>
          </w:p>
        </w:tc>
        <w:tc>
          <w:tcPr>
            <w:tcW w:w="1337" w:type="dxa"/>
          </w:tcPr>
          <w:p w14:paraId="257C7094" w14:textId="77777777" w:rsidR="007C6891" w:rsidRDefault="004A17CB">
            <w:pPr>
              <w:pStyle w:val="TableBody"/>
              <w:keepNext/>
            </w:pPr>
            <w:r>
              <w:t>Proprietary validation</w:t>
            </w:r>
          </w:p>
        </w:tc>
        <w:tc>
          <w:tcPr>
            <w:tcW w:w="1337" w:type="dxa"/>
          </w:tcPr>
          <w:p w14:paraId="31F7A3AD" w14:textId="77777777" w:rsidR="007C6891" w:rsidRDefault="004A17CB">
            <w:pPr>
              <w:pStyle w:val="TableBody"/>
              <w:keepNext/>
            </w:pPr>
            <w:r>
              <w:t>—</w:t>
            </w:r>
          </w:p>
        </w:tc>
      </w:tr>
      <w:tr w:rsidR="007C6891" w14:paraId="67B4753E" w14:textId="77777777">
        <w:trPr>
          <w:cantSplit/>
        </w:trPr>
        <w:tc>
          <w:tcPr>
            <w:tcW w:w="1337" w:type="dxa"/>
          </w:tcPr>
          <w:p w14:paraId="625C1DA8" w14:textId="77777777" w:rsidR="007C6891" w:rsidRDefault="004A17CB">
            <w:pPr>
              <w:pStyle w:val="TableBody"/>
              <w:keepNext/>
            </w:pPr>
            <w:r>
              <w:rPr>
                <w:b/>
              </w:rPr>
              <w:t>SwissADME</w:t>
            </w:r>
            <w:r>
              <w:t xml:space="preserve"> [Daina 2017]</w:t>
            </w:r>
          </w:p>
        </w:tc>
        <w:tc>
          <w:tcPr>
            <w:tcW w:w="1337" w:type="dxa"/>
          </w:tcPr>
          <w:p w14:paraId="02EA93B2" w14:textId="77777777" w:rsidR="007C6891" w:rsidRDefault="004A17CB">
            <w:pPr>
              <w:pStyle w:val="TableBody"/>
              <w:keepNext/>
            </w:pPr>
            <w:r>
              <w:t>Free web</w:t>
            </w:r>
          </w:p>
        </w:tc>
        <w:tc>
          <w:tcPr>
            <w:tcW w:w="1337" w:type="dxa"/>
          </w:tcPr>
          <w:p w14:paraId="7C30C916" w14:textId="77777777" w:rsidR="007C6891" w:rsidRDefault="004A17CB">
            <w:pPr>
              <w:pStyle w:val="TableBody"/>
              <w:keepNext/>
            </w:pPr>
            <w:r>
              <w:t>Yes (web)</w:t>
            </w:r>
          </w:p>
        </w:tc>
        <w:tc>
          <w:tcPr>
            <w:tcW w:w="1337" w:type="dxa"/>
          </w:tcPr>
          <w:p w14:paraId="769F3E63" w14:textId="77777777" w:rsidR="007C6891" w:rsidRDefault="004A17CB">
            <w:pPr>
              <w:pStyle w:val="TableBody"/>
              <w:keepNext/>
            </w:pPr>
            <w:r>
              <w:t>No (fixed models)</w:t>
            </w:r>
          </w:p>
        </w:tc>
        <w:tc>
          <w:tcPr>
            <w:tcW w:w="1337" w:type="dxa"/>
          </w:tcPr>
          <w:p w14:paraId="56295460" w14:textId="77777777" w:rsidR="007C6891" w:rsidRDefault="004A17CB">
            <w:pPr>
              <w:pStyle w:val="TableBody"/>
              <w:keepNext/>
            </w:pPr>
            <w:r>
              <w:t>Fixed in-house models</w:t>
            </w:r>
          </w:p>
        </w:tc>
        <w:tc>
          <w:tcPr>
            <w:tcW w:w="1337" w:type="dxa"/>
          </w:tcPr>
          <w:p w14:paraId="0A96BCD2" w14:textId="77777777" w:rsidR="007C6891" w:rsidRDefault="004A17CB">
            <w:pPr>
              <w:pStyle w:val="TableBody"/>
              <w:keepNext/>
            </w:pPr>
            <w:r>
              <w:t>n/a</w:t>
            </w:r>
          </w:p>
        </w:tc>
        <w:tc>
          <w:tcPr>
            <w:tcW w:w="1337" w:type="dxa"/>
          </w:tcPr>
          <w:p w14:paraId="53D684E0" w14:textId="77777777" w:rsidR="007C6891" w:rsidRDefault="004A17CB">
            <w:pPr>
              <w:pStyle w:val="TableBody"/>
              <w:keepNext/>
            </w:pPr>
            <w:r>
              <w:t>—</w:t>
            </w:r>
          </w:p>
        </w:tc>
      </w:tr>
      <w:tr w:rsidR="007C6891" w14:paraId="149FF6BB" w14:textId="77777777">
        <w:trPr>
          <w:cantSplit/>
        </w:trPr>
        <w:tc>
          <w:tcPr>
            <w:tcW w:w="1337" w:type="dxa"/>
          </w:tcPr>
          <w:p w14:paraId="1102ACA2" w14:textId="77777777" w:rsidR="007C6891" w:rsidRDefault="004A17CB">
            <w:pPr>
              <w:pStyle w:val="TableBody"/>
              <w:keepNext/>
            </w:pPr>
            <w:r>
              <w:rPr>
                <w:b/>
              </w:rPr>
              <w:t>pkCSM</w:t>
            </w:r>
            <w:r>
              <w:t xml:space="preserve"> [Pires 2015]</w:t>
            </w:r>
          </w:p>
        </w:tc>
        <w:tc>
          <w:tcPr>
            <w:tcW w:w="1337" w:type="dxa"/>
          </w:tcPr>
          <w:p w14:paraId="2EA585EA" w14:textId="77777777" w:rsidR="007C6891" w:rsidRDefault="004A17CB">
            <w:pPr>
              <w:pStyle w:val="TableBody"/>
              <w:keepNext/>
            </w:pPr>
            <w:r>
              <w:t>Free web</w:t>
            </w:r>
          </w:p>
        </w:tc>
        <w:tc>
          <w:tcPr>
            <w:tcW w:w="1337" w:type="dxa"/>
          </w:tcPr>
          <w:p w14:paraId="1F0F2B4A" w14:textId="77777777" w:rsidR="007C6891" w:rsidRDefault="004A17CB">
            <w:pPr>
              <w:pStyle w:val="TableBody"/>
              <w:keepNext/>
            </w:pPr>
            <w:r>
              <w:t>Yes (web)</w:t>
            </w:r>
          </w:p>
        </w:tc>
        <w:tc>
          <w:tcPr>
            <w:tcW w:w="1337" w:type="dxa"/>
          </w:tcPr>
          <w:p w14:paraId="23FC8216" w14:textId="77777777" w:rsidR="007C6891" w:rsidRDefault="004A17CB">
            <w:pPr>
              <w:pStyle w:val="TableBody"/>
              <w:keepNext/>
            </w:pPr>
            <w:r>
              <w:t>No (fixed models)</w:t>
            </w:r>
          </w:p>
        </w:tc>
        <w:tc>
          <w:tcPr>
            <w:tcW w:w="1337" w:type="dxa"/>
          </w:tcPr>
          <w:p w14:paraId="2917556B" w14:textId="77777777" w:rsidR="007C6891" w:rsidRDefault="004A17CB">
            <w:pPr>
              <w:pStyle w:val="TableBody"/>
              <w:keepNext/>
            </w:pPr>
            <w:r>
              <w:t>Graph-based signatures</w:t>
            </w:r>
          </w:p>
        </w:tc>
        <w:tc>
          <w:tcPr>
            <w:tcW w:w="1337" w:type="dxa"/>
          </w:tcPr>
          <w:p w14:paraId="7F34B206" w14:textId="77777777" w:rsidR="007C6891" w:rsidRDefault="004A17CB">
            <w:pPr>
              <w:pStyle w:val="TableBody"/>
              <w:keepNext/>
            </w:pPr>
            <w:r>
              <w:t>n/a</w:t>
            </w:r>
          </w:p>
        </w:tc>
        <w:tc>
          <w:tcPr>
            <w:tcW w:w="1337" w:type="dxa"/>
          </w:tcPr>
          <w:p w14:paraId="239E8D50" w14:textId="77777777" w:rsidR="007C6891" w:rsidRDefault="004A17CB">
            <w:pPr>
              <w:pStyle w:val="TableBody"/>
              <w:keepNext/>
            </w:pPr>
            <w:r>
              <w:t>—</w:t>
            </w:r>
          </w:p>
        </w:tc>
      </w:tr>
      <w:tr w:rsidR="007C6891" w14:paraId="7A83F080" w14:textId="77777777">
        <w:trPr>
          <w:cantSplit/>
        </w:trPr>
        <w:tc>
          <w:tcPr>
            <w:tcW w:w="1337" w:type="dxa"/>
          </w:tcPr>
          <w:p w14:paraId="57C90E0B" w14:textId="77777777" w:rsidR="007C6891" w:rsidRDefault="004A17CB">
            <w:pPr>
              <w:pStyle w:val="TableBody"/>
            </w:pPr>
            <w:r>
              <w:rPr>
                <w:b/>
              </w:rPr>
              <w:t>ADMETlab 3.0</w:t>
            </w:r>
            <w:r>
              <w:t xml:space="preserve"> [Fu 2024]</w:t>
            </w:r>
          </w:p>
        </w:tc>
        <w:tc>
          <w:tcPr>
            <w:tcW w:w="1337" w:type="dxa"/>
          </w:tcPr>
          <w:p w14:paraId="572C98FB" w14:textId="77777777" w:rsidR="007C6891" w:rsidRDefault="004A17CB">
            <w:pPr>
              <w:pStyle w:val="TableBody"/>
            </w:pPr>
            <w:r>
              <w:t>Free web</w:t>
            </w:r>
          </w:p>
        </w:tc>
        <w:tc>
          <w:tcPr>
            <w:tcW w:w="1337" w:type="dxa"/>
          </w:tcPr>
          <w:p w14:paraId="64F5BEFB" w14:textId="77777777" w:rsidR="007C6891" w:rsidRDefault="004A17CB">
            <w:pPr>
              <w:pStyle w:val="TableBody"/>
            </w:pPr>
            <w:r>
              <w:t>Yes (web)</w:t>
            </w:r>
          </w:p>
        </w:tc>
        <w:tc>
          <w:tcPr>
            <w:tcW w:w="1337" w:type="dxa"/>
          </w:tcPr>
          <w:p w14:paraId="42AC8F4E" w14:textId="77777777" w:rsidR="007C6891" w:rsidRDefault="004A17CB">
            <w:pPr>
              <w:pStyle w:val="TableBody"/>
            </w:pPr>
            <w:r>
              <w:t>No (fixed models)</w:t>
            </w:r>
          </w:p>
        </w:tc>
        <w:tc>
          <w:tcPr>
            <w:tcW w:w="1337" w:type="dxa"/>
          </w:tcPr>
          <w:p w14:paraId="7102814B" w14:textId="77777777" w:rsidR="007C6891" w:rsidRDefault="004A17CB">
            <w:pPr>
              <w:pStyle w:val="TableBody"/>
            </w:pPr>
            <w:r>
              <w:t>Multi-task graph attention</w:t>
            </w:r>
          </w:p>
        </w:tc>
        <w:tc>
          <w:tcPr>
            <w:tcW w:w="1337" w:type="dxa"/>
          </w:tcPr>
          <w:p w14:paraId="082711E9" w14:textId="77777777" w:rsidR="007C6891" w:rsidRDefault="004A17CB">
            <w:pPr>
              <w:pStyle w:val="TableBody"/>
            </w:pPr>
            <w:r>
              <w:t>Internal validation</w:t>
            </w:r>
          </w:p>
        </w:tc>
        <w:tc>
          <w:tcPr>
            <w:tcW w:w="1337" w:type="dxa"/>
          </w:tcPr>
          <w:p w14:paraId="5DE6CE44" w14:textId="77777777" w:rsidR="007C6891" w:rsidRDefault="004A17CB">
            <w:pPr>
              <w:pStyle w:val="TableBody"/>
            </w:pPr>
            <w:r>
              <w:t>—</w:t>
            </w:r>
          </w:p>
        </w:tc>
      </w:tr>
    </w:tbl>
    <w:p w14:paraId="32AE4A9F" w14:textId="77777777" w:rsidR="007C6891" w:rsidRDefault="007C6891">
      <w:pPr>
        <w:spacing w:after="120" w:line="20" w:lineRule="exact"/>
      </w:pPr>
    </w:p>
    <w:p w14:paraId="637193CB" w14:textId="77777777" w:rsidR="007C6891" w:rsidRDefault="004A17CB">
      <w:r>
        <w:rPr>
          <w:i/>
        </w:rPr>
        <w:t>Caption footnote to include:</w:t>
      </w:r>
      <w:r>
        <w:t xml:space="preserve"> "Performance columns report each tool's own published results and are not directly comparable across rows, which use different splits, seeds, and selection protocols. ADMET-AI's 'highest average rank' is a 2024 self-report; on individual endpoints it is exceeded by e.g. MapLight and MaxQsaring. [PACKAGE] reuses ADMET-AI's Chemprop-RDKit architecture via its Chemprop v2 (D-MPNN + RDKit2D) variant but does not integrate ADMET-AI itself; in this run that variant produced valid results on only 6 of 44 datasets</w:t>
      </w:r>
      <w:r>
        <w:t>, so parity with ADMET-AI is untested."</w:t>
      </w:r>
    </w:p>
    <w:p w14:paraId="173FD161" w14:textId="6F9803E9" w:rsidR="007C6891" w:rsidRDefault="004A17CB">
      <w:r>
        <w:rPr>
          <w:i/>
        </w:rPr>
        <w:lastRenderedPageBreak/>
        <w:t>Verification anchors for the table's performance column:</w:t>
      </w:r>
      <w:r>
        <w:t xml:space="preserve"> ADMET-AI highest average rank on the TDC ADMET Leaderboard; </w:t>
      </w:r>
      <w:hyperlink r:id="rId40">
        <w:r>
          <w:rPr>
            <w:b/>
            <w:color w:val="1F5132"/>
            <w:position w:val="7"/>
            <w:sz w:val="18"/>
            <w:szCs w:val="18"/>
          </w:rPr>
          <w:t>1</w:t>
        </w:r>
      </w:hyperlink>
      <w:r>
        <w:t xml:space="preserve"> DeepAutoQSAR top-performing in 20/22, clearly best in 9; </w:t>
      </w:r>
      <w:hyperlink r:id="rId41">
        <w:r>
          <w:rPr>
            <w:b/>
            <w:color w:val="1F5132"/>
            <w:position w:val="7"/>
            <w:sz w:val="18"/>
            <w:szCs w:val="18"/>
          </w:rPr>
          <w:t>14</w:t>
        </w:r>
      </w:hyperlink>
      <w:r>
        <w:t xml:space="preserve"> ZairaChem SOTA out-of-box on TDC classification, </w:t>
      </w:r>
      <w:hyperlink r:id="rId42">
        <w:r>
          <w:rPr>
            <w:b/>
            <w:color w:val="1F5132"/>
            <w:position w:val="7"/>
            <w:sz w:val="18"/>
            <w:szCs w:val="18"/>
          </w:rPr>
          <w:t>7</w:t>
        </w:r>
      </w:hyperlink>
      <w:r>
        <w:t xml:space="preserve">classification tasks only; </w:t>
      </w:r>
      <w:hyperlink r:id="rId43">
        <w:r>
          <w:rPr>
            <w:b/>
            <w:color w:val="1F5132"/>
            <w:position w:val="7"/>
            <w:sz w:val="18"/>
            <w:szCs w:val="18"/>
          </w:rPr>
          <w:t>8</w:t>
        </w:r>
      </w:hyperlink>
      <w:r>
        <w:t xml:space="preserve"> DeepMol competitive across 22 TDC datasets; </w:t>
      </w:r>
      <w:hyperlink r:id="rId44">
        <w:r>
          <w:rPr>
            <w:b/>
            <w:color w:val="1F5132"/>
            <w:position w:val="7"/>
            <w:sz w:val="18"/>
            <w:szCs w:val="18"/>
          </w:rPr>
          <w:t>9</w:t>
        </w:r>
      </w:hyperlink>
      <w:r>
        <w:t xml:space="preserve"> QSARtuna no TDC leaderboard benchmark (illustrative examples); </w:t>
      </w:r>
      <w:hyperlink r:id="rId45">
        <w:r>
          <w:rPr>
            <w:b/>
            <w:color w:val="1F5132"/>
            <w:position w:val="7"/>
            <w:sz w:val="18"/>
            <w:szCs w:val="18"/>
          </w:rPr>
          <w:t>5</w:t>
        </w:r>
      </w:hyperlink>
      <w:r>
        <w:t xml:space="preserve"> the package's own test-selected vs. CV-selected TDC results (22/22 → 15/22; median rank 3 → 8); </w:t>
      </w:r>
      <w:hyperlink r:id="rId46" w:anchor="pages=6-7">
        <w:r>
          <w:rPr>
            <w:b/>
            <w:color w:val="1F5132"/>
            <w:position w:val="7"/>
            <w:sz w:val="18"/>
            <w:szCs w:val="18"/>
          </w:rPr>
          <w:t>12</w:t>
        </w:r>
      </w:hyperlink>
      <w:r>
        <w:t xml:space="preserve"> the Chemprop/ADMET-AI-equivalent coverage valid on only 6 of 44 datasets. </w:t>
      </w:r>
      <w:hyperlink r:id="rId47" w:anchor="pages=6-7">
        <w:r>
          <w:rPr>
            <w:b/>
            <w:color w:val="1F5132"/>
            <w:position w:val="7"/>
            <w:sz w:val="18"/>
            <w:szCs w:val="18"/>
          </w:rPr>
          <w:t>12</w:t>
        </w:r>
      </w:hyperlink>
    </w:p>
    <w:p w14:paraId="065028AB" w14:textId="77777777" w:rsidR="007C6891" w:rsidRDefault="004A17CB">
      <w:pPr>
        <w:pStyle w:val="Heading2"/>
      </w:pPr>
      <w:r>
        <w:t>8. Drop-in references for Table X</w:t>
      </w:r>
    </w:p>
    <w:p w14:paraId="4C34E4F6" w14:textId="77777777" w:rsidR="007C6891" w:rsidRDefault="004A17CB">
      <w:r>
        <w:t>Formatted for pasting into the manuscript's numbered bibliography (author lists and identifiers verified against primary sources):</w:t>
      </w:r>
    </w:p>
    <w:p w14:paraId="24409E17" w14:textId="77777777" w:rsidR="007C6891" w:rsidRDefault="004A17CB">
      <w:pPr>
        <w:pStyle w:val="ListParagraph"/>
        <w:tabs>
          <w:tab w:val="left" w:pos="720"/>
        </w:tabs>
        <w:ind w:left="720" w:hanging="360"/>
      </w:pPr>
      <w:r>
        <w:t>•</w:t>
      </w:r>
      <w:r>
        <w:tab/>
      </w:r>
      <w:r>
        <w:rPr>
          <w:b/>
        </w:rPr>
        <w:t>QSARtuna:</w:t>
      </w:r>
      <w:r>
        <w:t xml:space="preserve"> Mervin L, Voronov A, Kabeshov M, Engkvist O. QSARtuna: An Automated QSAR Modeling Platform for Molecular Property Prediction in Drug Design. </w:t>
      </w:r>
      <w:r>
        <w:rPr>
          <w:i/>
        </w:rPr>
        <w:t>Journal of Chemical Information and Modeling</w:t>
      </w:r>
      <w:r>
        <w:t xml:space="preserve"> 2024;64(14):5365–5374. doi:10.1021/acs.jcim.4c00457. (Verified: JCIM 2024, 64(14):5365–5374, doi:10.1021/acs.jcim.4c00457; </w:t>
      </w:r>
      <w:hyperlink r:id="rId48">
        <w:r>
          <w:rPr>
            <w:b/>
            <w:color w:val="1F5132"/>
            <w:position w:val="7"/>
            <w:sz w:val="18"/>
            <w:szCs w:val="18"/>
          </w:rPr>
          <w:t>5</w:t>
        </w:r>
      </w:hyperlink>
      <w:r>
        <w:t xml:space="preserve">author list Mervin L, Voronov A, Kabeshov M, Engkvist O.) </w:t>
      </w:r>
      <w:hyperlink r:id="rId49">
        <w:r>
          <w:rPr>
            <w:b/>
            <w:color w:val="1F5132"/>
            <w:position w:val="7"/>
            <w:sz w:val="18"/>
            <w:szCs w:val="18"/>
          </w:rPr>
          <w:t>6</w:t>
        </w:r>
      </w:hyperlink>
    </w:p>
    <w:p w14:paraId="5DFDA156" w14:textId="77777777" w:rsidR="007C6891" w:rsidRDefault="004A17CB">
      <w:pPr>
        <w:pStyle w:val="ListParagraph"/>
        <w:tabs>
          <w:tab w:val="left" w:pos="720"/>
        </w:tabs>
        <w:ind w:left="720" w:hanging="360"/>
      </w:pPr>
      <w:r>
        <w:t>•</w:t>
      </w:r>
      <w:r>
        <w:tab/>
      </w:r>
      <w:r>
        <w:rPr>
          <w:b/>
        </w:rPr>
        <w:t>ZairaChem:</w:t>
      </w:r>
      <w:r>
        <w:t xml:space="preserve"> Turon G, Hlozek J, Woodland JG, Kumar A, Chibale K, Duran-Frigola M. First fully-automated AI/ML virtual screening cascade implemented at a drug discovery centre in Africa. </w:t>
      </w:r>
      <w:r>
        <w:rPr>
          <w:i/>
        </w:rPr>
        <w:t>Nature Communications</w:t>
      </w:r>
      <w:r>
        <w:t xml:space="preserve"> 2023;14:5736. doi:10.1038/s41467-023-41512-2. (Verified: Nat Commun 2023 Sep 15;14:5736, doi:10.1038/s41467-023-41512-2, </w:t>
      </w:r>
      <w:hyperlink r:id="rId50">
        <w:r>
          <w:rPr>
            <w:b/>
            <w:color w:val="1F5132"/>
            <w:position w:val="7"/>
            <w:sz w:val="18"/>
            <w:szCs w:val="18"/>
          </w:rPr>
          <w:t>22</w:t>
        </w:r>
      </w:hyperlink>
      <w:r>
        <w:t xml:space="preserve">contributors Turon G, Hlozek J, Woodland JG, Kumar A, Chibale K, Duran-Frigola M.) </w:t>
      </w:r>
      <w:hyperlink r:id="rId51">
        <w:r>
          <w:rPr>
            <w:b/>
            <w:color w:val="1F5132"/>
            <w:position w:val="7"/>
            <w:sz w:val="18"/>
            <w:szCs w:val="18"/>
          </w:rPr>
          <w:t>23</w:t>
        </w:r>
      </w:hyperlink>
    </w:p>
    <w:p w14:paraId="662336EF" w14:textId="77777777" w:rsidR="007C6891" w:rsidRDefault="004A17CB">
      <w:pPr>
        <w:pStyle w:val="ListParagraph"/>
        <w:tabs>
          <w:tab w:val="left" w:pos="720"/>
        </w:tabs>
        <w:ind w:left="720" w:hanging="360"/>
      </w:pPr>
      <w:r>
        <w:t>•</w:t>
      </w:r>
      <w:r>
        <w:tab/>
      </w:r>
      <w:r>
        <w:rPr>
          <w:b/>
        </w:rPr>
        <w:t>QSPRpred:</w:t>
      </w:r>
      <w:r>
        <w:t xml:space="preserve"> van den Maagdenberg HW, Šícho M, Alencar Araripe D, Luukkonen S, Schoenmaker L, Jespers M, Béquignon OJM, Gorostiola González M, van den Broek RL, Bernatavicius A, van Hasselt JGC, van der Graaf PH, van Westen GJP. QSPRpred: a Flexible Open-Source Quantitative Structure-Property Relationship Modelling Tool. </w:t>
      </w:r>
      <w:r>
        <w:rPr>
          <w:i/>
        </w:rPr>
        <w:t>Journal of Cheminformatics</w:t>
      </w:r>
      <w:r>
        <w:t xml:space="preserve"> 2024;16(1):128. doi:10.1186/s13321-024-00908-y. (Verified author list and venue: J. Cheminform. 2024, 16(1), doi:10.1186/s13321-024-00908-y; </w:t>
      </w:r>
      <w:hyperlink r:id="rId52">
        <w:r>
          <w:rPr>
            <w:b/>
            <w:color w:val="1F5132"/>
            <w:position w:val="7"/>
            <w:sz w:val="18"/>
            <w:szCs w:val="18"/>
          </w:rPr>
          <w:t>24</w:t>
        </w:r>
      </w:hyperlink>
      <w:r>
        <w:t xml:space="preserve">article number 128.) </w:t>
      </w:r>
      <w:hyperlink r:id="rId53">
        <w:r>
          <w:rPr>
            <w:b/>
            <w:color w:val="1F5132"/>
            <w:position w:val="7"/>
            <w:sz w:val="18"/>
            <w:szCs w:val="18"/>
          </w:rPr>
          <w:t>6</w:t>
        </w:r>
      </w:hyperlink>
    </w:p>
    <w:p w14:paraId="6FFF4EBB" w14:textId="77777777" w:rsidR="007C6891" w:rsidRDefault="004A17CB">
      <w:pPr>
        <w:pStyle w:val="ListParagraph"/>
        <w:tabs>
          <w:tab w:val="left" w:pos="720"/>
        </w:tabs>
        <w:ind w:left="720" w:hanging="360"/>
      </w:pPr>
      <w:r>
        <w:t>•</w:t>
      </w:r>
      <w:r>
        <w:tab/>
      </w:r>
      <w:r>
        <w:rPr>
          <w:b/>
        </w:rPr>
        <w:t>DeepPurpose:</w:t>
      </w:r>
      <w:r>
        <w:t xml:space="preserve"> Huang K, Fu T, Glass LM, Zitnik M, Xiao C, Sun J. DeepPurpose: a deep learning library for drug–target interaction prediction. </w:t>
      </w:r>
      <w:r>
        <w:rPr>
          <w:i/>
        </w:rPr>
        <w:t>Bioinformatics</w:t>
      </w:r>
      <w:r>
        <w:t xml:space="preserve"> 2020;36(22–23):5545–5547. doi:10.1093/bioinformatics/btaa1005. (Verified: Bioinformatics 2020, 36(22-23):5545–5547, doi:10.1093/bioinformatics/btaa1005.) </w:t>
      </w:r>
      <w:hyperlink r:id="rId54">
        <w:r>
          <w:rPr>
            <w:b/>
            <w:color w:val="1F5132"/>
            <w:position w:val="7"/>
            <w:sz w:val="18"/>
            <w:szCs w:val="18"/>
          </w:rPr>
          <w:t>10</w:t>
        </w:r>
      </w:hyperlink>
    </w:p>
    <w:p w14:paraId="307C48F5" w14:textId="77777777" w:rsidR="007C6891" w:rsidRDefault="004A17CB">
      <w:pPr>
        <w:pStyle w:val="ListParagraph"/>
        <w:tabs>
          <w:tab w:val="left" w:pos="720"/>
        </w:tabs>
        <w:ind w:left="720" w:hanging="360"/>
      </w:pPr>
      <w:r>
        <w:t>•</w:t>
      </w:r>
      <w:r>
        <w:tab/>
      </w:r>
      <w:r>
        <w:rPr>
          <w:b/>
        </w:rPr>
        <w:t>DeepAutoQSAR (TDC benchmark white paper):</w:t>
      </w:r>
      <w:r>
        <w:t xml:space="preserve"> Kaplan Z, Ehrlich S, Leswing K. Benchmark study of DeepAutoQSAR, ChemProp, and DeepPurpose on the ADMET subset of the Therapeutic Data Commons. Schrödinger, Inc.; 2022. (Verified as a Schrödinger white paper, Kaplan Z, Ehrlich S, Leswing K, 2022.) </w:t>
      </w:r>
      <w:hyperlink r:id="rId55">
        <w:r>
          <w:rPr>
            <w:b/>
            <w:color w:val="1F5132"/>
            <w:position w:val="7"/>
            <w:sz w:val="18"/>
            <w:szCs w:val="18"/>
          </w:rPr>
          <w:t>25</w:t>
        </w:r>
      </w:hyperlink>
      <w:r>
        <w:t xml:space="preserve"> </w:t>
      </w:r>
      <w:r>
        <w:rPr>
          <w:i/>
        </w:rPr>
        <w:t>Note: grey literature — cite as a company white paper.</w:t>
      </w:r>
    </w:p>
    <w:p w14:paraId="2B079D92" w14:textId="77777777" w:rsidR="007C6891" w:rsidRDefault="004A17CB">
      <w:pPr>
        <w:pStyle w:val="ListParagraph"/>
        <w:tabs>
          <w:tab w:val="left" w:pos="720"/>
        </w:tabs>
        <w:ind w:left="720" w:hanging="360"/>
      </w:pPr>
      <w:r>
        <w:t>•</w:t>
      </w:r>
      <w:r>
        <w:tab/>
      </w:r>
      <w:r>
        <w:rPr>
          <w:b/>
        </w:rPr>
        <w:t>Schrödinger AutoQSAR (prior-art / trademark reference):</w:t>
      </w:r>
      <w:r>
        <w:t xml:space="preserve"> Dixon SL, Duan J, Smith E, von Bargen CD, Sherman W, Repasky MP. AutoQSAR: an automated machine learning tool for best-practice quantitative structure–activity relationship modeling. </w:t>
      </w:r>
      <w:r>
        <w:rPr>
          <w:i/>
        </w:rPr>
        <w:t>Future Medicinal Chemistry</w:t>
      </w:r>
      <w:r>
        <w:t xml:space="preserve"> 2016;8(15):1825–1839. (Verified: Dixon et al., Future Med Chem 2016, 8(15):1825–1839.) </w:t>
      </w:r>
      <w:hyperlink r:id="rId56">
        <w:r>
          <w:rPr>
            <w:b/>
            <w:color w:val="1F5132"/>
            <w:position w:val="7"/>
            <w:sz w:val="18"/>
            <w:szCs w:val="18"/>
          </w:rPr>
          <w:t>26</w:t>
        </w:r>
      </w:hyperlink>
    </w:p>
    <w:p w14:paraId="5E34B737" w14:textId="77777777" w:rsidR="007C6891" w:rsidRDefault="004A17CB">
      <w:pPr>
        <w:pStyle w:val="Quote"/>
      </w:pPr>
      <w:r>
        <w:lastRenderedPageBreak/>
        <w:t xml:space="preserve">Already in the manuscript and reusable in the table: </w:t>
      </w:r>
      <w:r>
        <w:rPr>
          <w:b/>
        </w:rPr>
        <w:t>ADMET-AI</w:t>
      </w:r>
      <w:r>
        <w:t xml:space="preserve"> [20, Swanson et al., </w:t>
      </w:r>
      <w:r>
        <w:rPr>
          <w:i/>
        </w:rPr>
        <w:t>Bioinformatics</w:t>
      </w:r>
      <w:r>
        <w:t xml:space="preserve"> 2024], </w:t>
      </w:r>
      <w:r>
        <w:rPr>
          <w:b/>
        </w:rPr>
        <w:t>DeepMol</w:t>
      </w:r>
      <w:r>
        <w:t xml:space="preserve"> [21, Correia et al., </w:t>
      </w:r>
      <w:r>
        <w:rPr>
          <w:i/>
        </w:rPr>
        <w:t>J. Cheminform.</w:t>
      </w:r>
      <w:r>
        <w:t xml:space="preserve"> 2024], </w:t>
      </w:r>
      <w:r>
        <w:rPr>
          <w:b/>
        </w:rPr>
        <w:t>ChemXploreML</w:t>
      </w:r>
      <w:r>
        <w:t xml:space="preserve"> [23, Marimuthu &amp; McGuire, </w:t>
      </w:r>
      <w:r>
        <w:rPr>
          <w:i/>
        </w:rPr>
        <w:t>JCIM</w:t>
      </w:r>
      <w:r>
        <w:t xml:space="preserve"> 2025], </w:t>
      </w:r>
      <w:r>
        <w:rPr>
          <w:b/>
        </w:rPr>
        <w:t>ADMETlab 3.0</w:t>
      </w:r>
      <w:r>
        <w:t xml:space="preserve"> [1, Fu et al., </w:t>
      </w:r>
      <w:r>
        <w:rPr>
          <w:i/>
        </w:rPr>
        <w:t>NAR</w:t>
      </w:r>
      <w:r>
        <w:t xml:space="preserve"> 2024]. </w:t>
      </w:r>
      <w:r>
        <w:rPr>
          <w:b/>
        </w:rPr>
        <w:t>SwissADME</w:t>
      </w:r>
      <w:r>
        <w:t xml:space="preserve"> (Daina A, Michielin O, Zoete V. </w:t>
      </w:r>
      <w:r>
        <w:rPr>
          <w:i/>
        </w:rPr>
        <w:t>Sci. Rep.</w:t>
      </w:r>
      <w:r>
        <w:t xml:space="preserve"> 2017;7:42717) and </w:t>
      </w:r>
      <w:r>
        <w:rPr>
          <w:b/>
        </w:rPr>
        <w:t>pkCSM</w:t>
      </w:r>
      <w:r>
        <w:t xml:space="preserve"> (Pires DEV, Blundell TL, Ascher DB. </w:t>
      </w:r>
      <w:r>
        <w:rPr>
          <w:i/>
        </w:rPr>
        <w:t>J. Med. Chem.</w:t>
      </w:r>
      <w:r>
        <w:t xml:space="preserve"> 2015) would need adding if you include those rows.</w:t>
      </w:r>
    </w:p>
    <w:p w14:paraId="27659645" w14:textId="77777777" w:rsidR="007C6891" w:rsidRDefault="007C6891">
      <w:pPr>
        <w:pBdr>
          <w:bottom w:val="single" w:sz="6" w:space="1" w:color="auto"/>
        </w:pBdr>
      </w:pPr>
    </w:p>
    <w:p w14:paraId="7F428E02" w14:textId="77777777" w:rsidR="007C6891" w:rsidRDefault="004A17CB">
      <w:pPr>
        <w:pStyle w:val="Heading3"/>
      </w:pPr>
      <w:r>
        <w:t>Verdict for the go/no-go decision</w:t>
      </w:r>
    </w:p>
    <w:p w14:paraId="374EE4BA" w14:textId="77777777" w:rsidR="007C6891" w:rsidRDefault="004A17CB">
      <w:r>
        <w:rPr>
          <w:b/>
        </w:rPr>
        <w:t>Publishable and useful — as a framework-and-finding contribution, not a performance contribution.</w:t>
      </w:r>
      <w:r>
        <w:t xml:space="preserve"> Repositioned around breadth, leakage control, the architecture-agnostic result, and accessibility (and honest about mid-pack accuracy, the single-seed limitation, and the untested ADMET-AI parity), the work clears the "crowded space" bar. The comparison table in §7 — with its honest footnote that the performance columns are not head-to-head — is the single most effective addition to make that case to a skeptical reviewer.</w:t>
      </w:r>
    </w:p>
    <w:p w14:paraId="68A9931A" w14:textId="77777777" w:rsidR="007C6891" w:rsidRDefault="004A17CB">
      <w:pPr>
        <w:pStyle w:val="Heading2"/>
      </w:pPr>
      <w:r>
        <w:t>References</w:t>
      </w:r>
    </w:p>
    <w:p w14:paraId="4C7D3CFD" w14:textId="77777777" w:rsidR="007C6891" w:rsidRDefault="004A17CB">
      <w:pPr>
        <w:pStyle w:val="ListParagraph"/>
        <w:tabs>
          <w:tab w:val="left" w:pos="720"/>
        </w:tabs>
        <w:ind w:left="720" w:hanging="360"/>
      </w:pPr>
      <w:r>
        <w:t>1.</w:t>
      </w:r>
      <w:r>
        <w:tab/>
      </w:r>
      <w:r>
        <w:t xml:space="preserve">a machine learning ADMET platform for evaluation of large-scale. [bibliographic details unresolved] </w:t>
      </w:r>
      <w:hyperlink r:id="rId57">
        <w:r>
          <w:rPr>
            <w:color w:val="1F5132"/>
            <w:u w:val="single"/>
          </w:rPr>
          <w:t>https://academic.oup.com/bioinformatics/article/40/7/btae416/7698030</w:t>
        </w:r>
      </w:hyperlink>
    </w:p>
    <w:p w14:paraId="7B998901" w14:textId="77777777" w:rsidR="007C6891" w:rsidRDefault="004A17CB">
      <w:pPr>
        <w:pStyle w:val="ListParagraph"/>
        <w:tabs>
          <w:tab w:val="left" w:pos="720"/>
        </w:tabs>
        <w:ind w:left="720" w:hanging="360"/>
      </w:pPr>
      <w:r>
        <w:t>2.</w:t>
      </w:r>
      <w:r>
        <w:tab/>
        <w:t xml:space="preserve">ADMET property prediction through combinations of. Retrieved 2026-09-25, from </w:t>
      </w:r>
      <w:hyperlink r:id="rId58">
        <w:r>
          <w:rPr>
            <w:color w:val="1F5132"/>
            <w:u w:val="single"/>
          </w:rPr>
          <w:t>http://arxiv.org/pdf/2310.00174</w:t>
        </w:r>
      </w:hyperlink>
    </w:p>
    <w:p w14:paraId="4C29D610" w14:textId="77777777" w:rsidR="007C6891" w:rsidRDefault="004A17CB">
      <w:pPr>
        <w:pStyle w:val="ListParagraph"/>
        <w:tabs>
          <w:tab w:val="left" w:pos="720"/>
        </w:tabs>
        <w:ind w:left="720" w:hanging="360"/>
      </w:pPr>
      <w:r>
        <w:t>3.</w:t>
      </w:r>
      <w:r>
        <w:tab/>
      </w:r>
      <w:r>
        <w:t xml:space="preserve">Unveiling optimal molecular features for hERG insights with automatic machine learning. [bibliographic details unresolved] </w:t>
      </w:r>
      <w:hyperlink r:id="rId59">
        <w:r>
          <w:rPr>
            <w:color w:val="1F5132"/>
            <w:u w:val="single"/>
          </w:rPr>
          <w:t>https://www.sciencedirect.com/science/article/pii/S209517792500228X</w:t>
        </w:r>
      </w:hyperlink>
    </w:p>
    <w:p w14:paraId="7C05F076" w14:textId="77777777" w:rsidR="007C6891" w:rsidRDefault="004A17CB">
      <w:pPr>
        <w:pStyle w:val="ListParagraph"/>
        <w:tabs>
          <w:tab w:val="left" w:pos="720"/>
        </w:tabs>
        <w:ind w:left="720" w:hanging="360"/>
      </w:pPr>
      <w:r>
        <w:t>4.</w:t>
      </w:r>
      <w:r>
        <w:tab/>
        <w:t xml:space="preserve">GitHub - swansonk14/admet_ai: Training and prediction scripts for. Retrieved 2026-09-25, from </w:t>
      </w:r>
      <w:hyperlink r:id="rId60">
        <w:r>
          <w:rPr>
            <w:color w:val="1F5132"/>
            <w:u w:val="single"/>
          </w:rPr>
          <w:t>https://github.com/swansonk14/admet_ai</w:t>
        </w:r>
      </w:hyperlink>
    </w:p>
    <w:p w14:paraId="0AE6D81B" w14:textId="77777777" w:rsidR="007C6891" w:rsidRDefault="004A17CB">
      <w:pPr>
        <w:pStyle w:val="ListParagraph"/>
        <w:tabs>
          <w:tab w:val="left" w:pos="720"/>
        </w:tabs>
        <w:ind w:left="720" w:hanging="360"/>
      </w:pPr>
      <w:r>
        <w:t>5.</w:t>
      </w:r>
      <w:r>
        <w:tab/>
      </w:r>
      <w:r>
        <w:t>Mervin L, Voronov A, Kabeshov M, Engkvist O. QSARtuna: An Automated QSAR Modeling Platform for Molecular Property Prediction in Drug Design. J Chem Inf Model. 2024;64(14):5365-5374. doi:10.1021/acs.jcim.4c00457. PMID: 38950185.</w:t>
      </w:r>
    </w:p>
    <w:p w14:paraId="54FD3363" w14:textId="77777777" w:rsidR="007C6891" w:rsidRDefault="004A17CB">
      <w:pPr>
        <w:pStyle w:val="ListParagraph"/>
        <w:tabs>
          <w:tab w:val="left" w:pos="720"/>
        </w:tabs>
        <w:ind w:left="720" w:hanging="360"/>
      </w:pPr>
      <w:r>
        <w:t>6.</w:t>
      </w:r>
      <w:r>
        <w:tab/>
      </w:r>
      <w:r>
        <w:t>van den Maagdenberg HW, Šícho M, Araripe DA, Luukkonen S, Schoenmaker L, Jespers M, Béquignon OJM, González MG, van den Broek RL, Bernatavicius A, van Hasselt JGC, van der Graaf PH, van Westen GJP. QSPRpred: a Flexible Open-Source Quantitative Structure-Property Relationship Modelling Tool. J Cheminform. 2024;16(1):128. doi:10.1186/s13321-024-00908-y. PMID: 39543652.</w:t>
      </w:r>
    </w:p>
    <w:p w14:paraId="10A943EB" w14:textId="77777777" w:rsidR="007C6891" w:rsidRDefault="004A17CB">
      <w:pPr>
        <w:pStyle w:val="ListParagraph"/>
        <w:tabs>
          <w:tab w:val="left" w:pos="720"/>
        </w:tabs>
        <w:ind w:left="720" w:hanging="360"/>
      </w:pPr>
      <w:r>
        <w:t>7.</w:t>
      </w:r>
      <w:r>
        <w:tab/>
        <w:t xml:space="preserve">ZairaChem_H3D_VirtualScreening_Cascade_Manuscript. Retrieved 2026-09-25, from </w:t>
      </w:r>
      <w:hyperlink r:id="rId61">
        <w:r>
          <w:rPr>
            <w:color w:val="1F5132"/>
            <w:u w:val="single"/>
          </w:rPr>
          <w:t>https://www.biorxiv.org/content/biorxiv/early/2022/12/15/2022.12.13.520154.full.pdf</w:t>
        </w:r>
      </w:hyperlink>
    </w:p>
    <w:p w14:paraId="489F57E0" w14:textId="77777777" w:rsidR="007C6891" w:rsidRDefault="004A17CB">
      <w:pPr>
        <w:pStyle w:val="ListParagraph"/>
        <w:tabs>
          <w:tab w:val="left" w:pos="720"/>
        </w:tabs>
        <w:ind w:left="720" w:hanging="360"/>
      </w:pPr>
      <w:r>
        <w:t>8.</w:t>
      </w:r>
      <w:r>
        <w:tab/>
        <w:t xml:space="preserve">GitHub - ersilia-os/zaira-chem-tdc-benchmark: This repository contains the ZairaChem models built on the ADMET datasets from Therapeutics Data Commons. Retrieved 2026-09-25, from </w:t>
      </w:r>
      <w:hyperlink r:id="rId62">
        <w:r>
          <w:rPr>
            <w:color w:val="1F5132"/>
            <w:u w:val="single"/>
          </w:rPr>
          <w:t>https://github.com/ersilia-os/zaira-chem-tdc-benchmark</w:t>
        </w:r>
      </w:hyperlink>
    </w:p>
    <w:p w14:paraId="23FB0D7C" w14:textId="77777777" w:rsidR="007C6891" w:rsidRDefault="004A17CB">
      <w:pPr>
        <w:pStyle w:val="ListParagraph"/>
        <w:tabs>
          <w:tab w:val="left" w:pos="720"/>
        </w:tabs>
        <w:ind w:left="720" w:hanging="360"/>
      </w:pPr>
      <w:r>
        <w:t>9.</w:t>
      </w:r>
      <w:r>
        <w:tab/>
      </w:r>
      <w:r>
        <w:t xml:space="preserve">Deepmol: an automated machine and deep learning framework for computational chemistry. Retrieved 2026-09-25, from </w:t>
      </w:r>
      <w:hyperlink r:id="rId63">
        <w:r>
          <w:rPr>
            <w:color w:val="1F5132"/>
            <w:u w:val="single"/>
          </w:rPr>
          <w:t>https://colab.ws/articles/10.1186%2Fs13321-024-00937-7</w:t>
        </w:r>
      </w:hyperlink>
    </w:p>
    <w:p w14:paraId="7141111B" w14:textId="77777777" w:rsidR="007C6891" w:rsidRDefault="004A17CB">
      <w:pPr>
        <w:pStyle w:val="ListParagraph"/>
        <w:tabs>
          <w:tab w:val="left" w:pos="720"/>
        </w:tabs>
        <w:ind w:left="720" w:hanging="360"/>
      </w:pPr>
      <w:r>
        <w:lastRenderedPageBreak/>
        <w:t>10.</w:t>
      </w:r>
      <w:r>
        <w:tab/>
        <w:t>Huang K, Fu T, Glass LM, Zitnik M, Xiao C, Sun J. DeepPurpose: a deep learning library for drug-target interaction prediction. Bioinformatics. 2021;36(22-23):5545-5547. doi:10.1093/bioinformatics/btaa1005. PMID: 33275143.</w:t>
      </w:r>
    </w:p>
    <w:p w14:paraId="683A2873" w14:textId="77777777" w:rsidR="007C6891" w:rsidRDefault="004A17CB">
      <w:pPr>
        <w:pStyle w:val="ListParagraph"/>
        <w:tabs>
          <w:tab w:val="left" w:pos="720"/>
        </w:tabs>
        <w:ind w:left="720" w:hanging="360"/>
      </w:pPr>
      <w:r>
        <w:t>11.</w:t>
      </w:r>
      <w:r>
        <w:tab/>
      </w:r>
      <w:r>
        <w:t>Marimuthu AN, McGuire BA. Machine Learning Pipeline for Molecular Property Prediction Using ChemXploreML. J Chem Inf Model. 2025;65(11):5424-5437. doi:10.1021/acs.jcim.5c00516. PMID: 40392187.</w:t>
      </w:r>
    </w:p>
    <w:p w14:paraId="1A2EB67F" w14:textId="77777777" w:rsidR="007C6891" w:rsidRDefault="004A17CB">
      <w:pPr>
        <w:pStyle w:val="ListParagraph"/>
        <w:tabs>
          <w:tab w:val="left" w:pos="720"/>
        </w:tabs>
        <w:ind w:left="720" w:hanging="360"/>
      </w:pPr>
      <w:r>
        <w:t>12.</w:t>
      </w:r>
      <w:r>
        <w:tab/>
        <w:t>proof.pdf. Internal reference: file:25819#pages=6-7. Accessed 2026-09-25.</w:t>
      </w:r>
    </w:p>
    <w:p w14:paraId="0D1BDD23" w14:textId="77777777" w:rsidR="007C6891" w:rsidRDefault="004A17CB">
      <w:pPr>
        <w:pStyle w:val="ListParagraph"/>
        <w:tabs>
          <w:tab w:val="left" w:pos="720"/>
        </w:tabs>
        <w:ind w:left="720" w:hanging="360"/>
      </w:pPr>
      <w:r>
        <w:t>13.</w:t>
      </w:r>
      <w:r>
        <w:tab/>
      </w:r>
      <w:r>
        <w:t>Swanson K, Walther P, Leitz J, Mukherjee S, Wu JC, Shivnaraine RV, Zou J. ADMET-AI: A machine learning ADMET platform for evaluation of large-scale chemical libraries. bioRxiv (Cold Spring Harbor Laboratory). 2023. doi:10.1101/2023.12.28.573531. PMID: 38234753.</w:t>
      </w:r>
    </w:p>
    <w:p w14:paraId="00FF47A2" w14:textId="77777777" w:rsidR="007C6891" w:rsidRDefault="004A17CB">
      <w:pPr>
        <w:pStyle w:val="ListParagraph"/>
        <w:tabs>
          <w:tab w:val="left" w:pos="720"/>
        </w:tabs>
        <w:ind w:left="720" w:hanging="360"/>
      </w:pPr>
      <w:r>
        <w:t>14.</w:t>
      </w:r>
      <w:r>
        <w:tab/>
        <w:t xml:space="preserve">Benchmark study of DeepAutoQSAR, ChemProp, and DeepPurpose. Retrieved 2026-09-25, from </w:t>
      </w:r>
      <w:hyperlink r:id="rId64">
        <w:r>
          <w:rPr>
            <w:color w:val="1F5132"/>
            <w:u w:val="single"/>
          </w:rPr>
          <w:t>https://www.schrodinger.com/life-science/learn/white-papers/benchmark-study-deepautoqsar-chemprop-and-deeppurpose-admet-subset-therapeutic-data/</w:t>
        </w:r>
      </w:hyperlink>
    </w:p>
    <w:p w14:paraId="5C6BC301" w14:textId="77777777" w:rsidR="007C6891" w:rsidRDefault="004A17CB">
      <w:pPr>
        <w:pStyle w:val="ListParagraph"/>
        <w:tabs>
          <w:tab w:val="left" w:pos="720"/>
        </w:tabs>
        <w:ind w:left="720" w:hanging="360"/>
      </w:pPr>
      <w:r>
        <w:t>15.</w:t>
      </w:r>
      <w:r>
        <w:tab/>
        <w:t xml:space="preserve">ADMET Prediction Software: Features, Accuracy &amp; FDA NAMs. Retrieved 2026-09-25, from </w:t>
      </w:r>
      <w:hyperlink r:id="rId65">
        <w:r>
          <w:rPr>
            <w:color w:val="1F5132"/>
            <w:u w:val="single"/>
          </w:rPr>
          <w:t>https://intuitionlabs.ai/pdfs/admet-prediction-software-features-accuracy-fda-nams.pdf</w:t>
        </w:r>
      </w:hyperlink>
    </w:p>
    <w:p w14:paraId="2D24DD33" w14:textId="77777777" w:rsidR="007C6891" w:rsidRDefault="004A17CB">
      <w:pPr>
        <w:pStyle w:val="ListParagraph"/>
        <w:tabs>
          <w:tab w:val="left" w:pos="720"/>
        </w:tabs>
        <w:ind w:left="720" w:hanging="360"/>
      </w:pPr>
      <w:r>
        <w:t>16.</w:t>
      </w:r>
      <w:r>
        <w:tab/>
        <w:t xml:space="preserve">[PDF] ADMET Prediction Software: Features, Accuracy &amp; FDA NAMs. Retrieved 2026-09-25, from </w:t>
      </w:r>
      <w:hyperlink r:id="rId66">
        <w:r>
          <w:rPr>
            <w:color w:val="1F5132"/>
            <w:u w:val="single"/>
          </w:rPr>
          <w:t>https://intuitionlabs.ai/pdfs/admet-prediction-software-features-accuracy-fda-nams.pdf</w:t>
        </w:r>
      </w:hyperlink>
    </w:p>
    <w:p w14:paraId="7A46B8AD" w14:textId="77777777" w:rsidR="007C6891" w:rsidRDefault="004A17CB">
      <w:pPr>
        <w:pStyle w:val="ListParagraph"/>
        <w:tabs>
          <w:tab w:val="left" w:pos="720"/>
        </w:tabs>
        <w:ind w:left="720" w:hanging="360"/>
      </w:pPr>
      <w:r>
        <w:t>17.</w:t>
      </w:r>
      <w:r>
        <w:tab/>
        <w:t xml:space="preserve">admetSAR: a comprehensive source and free tool for assessment of. Retrieved 2026-09-25, from </w:t>
      </w:r>
      <w:hyperlink r:id="rId67">
        <w:r>
          <w:rPr>
            <w:color w:val="1F5132"/>
            <w:u w:val="single"/>
          </w:rPr>
          <w:t>https://scispace.com/papers/admetsar-a-comprehensive-source-and-free-tool-for-assessment-2bdunz503y</w:t>
        </w:r>
      </w:hyperlink>
    </w:p>
    <w:p w14:paraId="0627CC2C" w14:textId="77777777" w:rsidR="007C6891" w:rsidRDefault="004A17CB">
      <w:pPr>
        <w:pStyle w:val="ListParagraph"/>
        <w:tabs>
          <w:tab w:val="left" w:pos="720"/>
        </w:tabs>
        <w:ind w:left="720" w:hanging="360"/>
      </w:pPr>
      <w:r>
        <w:t>18.</w:t>
      </w:r>
      <w:r>
        <w:tab/>
        <w:t xml:space="preserve">FAQ. Retrieved 2026-09-25, from </w:t>
      </w:r>
      <w:hyperlink r:id="rId68">
        <w:r>
          <w:rPr>
            <w:color w:val="1F5132"/>
            <w:u w:val="single"/>
          </w:rPr>
          <w:t>https://www.swissadme.ch/faq.php</w:t>
        </w:r>
      </w:hyperlink>
    </w:p>
    <w:p w14:paraId="3FD06942" w14:textId="77777777" w:rsidR="007C6891" w:rsidRDefault="004A17CB">
      <w:pPr>
        <w:pStyle w:val="ListParagraph"/>
        <w:tabs>
          <w:tab w:val="left" w:pos="720"/>
        </w:tabs>
        <w:ind w:left="720" w:hanging="360"/>
      </w:pPr>
      <w:r>
        <w:t>19.</w:t>
      </w:r>
      <w:r>
        <w:tab/>
      </w:r>
      <w:r>
        <w:t>Pires DE, Blundell TL, Ascher DB. pkCSM: Predicting Small-Molecule Pharmacokinetic and Toxicity Properties Using Graph-Based Signatures. J Med Chem. 2015;58(9):4066-4072. doi:10.1021/acs.jmedchem.5b00104. PMID: 25860834.</w:t>
      </w:r>
    </w:p>
    <w:p w14:paraId="3962E870" w14:textId="77777777" w:rsidR="007C6891" w:rsidRDefault="004A17CB">
      <w:pPr>
        <w:pStyle w:val="ListParagraph"/>
        <w:tabs>
          <w:tab w:val="left" w:pos="720"/>
        </w:tabs>
        <w:ind w:left="720" w:hanging="360"/>
      </w:pPr>
      <w:r>
        <w:t>20.</w:t>
      </w:r>
      <w:r>
        <w:tab/>
        <w:t>Maulana AF, Sriwidodo S, Maksum IP, Rukayadi Y. &amp;lt;i&amp;gt;In silico&amp;lt;/i&amp;gt; based exploration of natural and synthetic antidiabetic compounds: A comprehensive review of computational approaches. ADMET DMPK. 2026;14:3070. doi:10.5599/admet.3070. PMID: 41853232.</w:t>
      </w:r>
    </w:p>
    <w:p w14:paraId="227BD3E6" w14:textId="77777777" w:rsidR="007C6891" w:rsidRDefault="004A17CB">
      <w:pPr>
        <w:pStyle w:val="ListParagraph"/>
        <w:tabs>
          <w:tab w:val="left" w:pos="720"/>
        </w:tabs>
        <w:ind w:left="720" w:hanging="360"/>
      </w:pPr>
      <w:r>
        <w:t>21.</w:t>
      </w:r>
      <w:r>
        <w:tab/>
      </w:r>
      <w:r>
        <w:t>Xiong G, Wu Z, Yi J, Fu L, Yang Z, Hsieh C, Yin M, Zeng X, Wu C, Lu A, Chen X, Hou T, Cao D. ADMETlab 2.0: an integrated online platform for accurate and comprehensive predictions of ADMET properties. Nucleic Acids Res. 2021;49(W1):W5-W14. doi:10.1093/nar/gkab255. PMID: 33893803.</w:t>
      </w:r>
    </w:p>
    <w:p w14:paraId="037CF5C6" w14:textId="77777777" w:rsidR="007C6891" w:rsidRDefault="004A17CB">
      <w:pPr>
        <w:pStyle w:val="ListParagraph"/>
        <w:tabs>
          <w:tab w:val="left" w:pos="720"/>
        </w:tabs>
        <w:ind w:left="720" w:hanging="360"/>
      </w:pPr>
      <w:r>
        <w:t>22.</w:t>
      </w:r>
      <w:r>
        <w:tab/>
      </w:r>
      <w:r>
        <w:t>Turon G, Hlozek J, Woodland JG, Kumar A, Chibale K, Duran-Frigola M. First fully-automated AI/ML virtual screening cascade implemented at a drug discovery centre in Africa. Nat Commun. 2023;14(1):5736. doi:10.1038/s41467-023-41512-2. PMID: 37714843.</w:t>
      </w:r>
    </w:p>
    <w:p w14:paraId="6BED70E3" w14:textId="77777777" w:rsidR="007C6891" w:rsidRDefault="004A17CB">
      <w:pPr>
        <w:pStyle w:val="ListParagraph"/>
        <w:tabs>
          <w:tab w:val="left" w:pos="720"/>
        </w:tabs>
        <w:ind w:left="720" w:hanging="360"/>
      </w:pPr>
      <w:r>
        <w:t>23.</w:t>
      </w:r>
      <w:r>
        <w:tab/>
        <w:t xml:space="preserve">Kelly Chibale (0000-0002-4541-646X) - ORCID. Retrieved 2026-09-25, from </w:t>
      </w:r>
      <w:hyperlink r:id="rId69">
        <w:r>
          <w:rPr>
            <w:color w:val="1F5132"/>
            <w:u w:val="single"/>
          </w:rPr>
          <w:t>https://orcid.org/0000-0002-4541-646X</w:t>
        </w:r>
      </w:hyperlink>
    </w:p>
    <w:p w14:paraId="0F10AB01" w14:textId="77777777" w:rsidR="007C6891" w:rsidRDefault="004A17CB">
      <w:pPr>
        <w:pStyle w:val="ListParagraph"/>
        <w:tabs>
          <w:tab w:val="left" w:pos="720"/>
        </w:tabs>
        <w:ind w:left="720" w:hanging="360"/>
      </w:pPr>
      <w:r>
        <w:lastRenderedPageBreak/>
        <w:t>24.</w:t>
      </w:r>
      <w:r>
        <w:tab/>
      </w:r>
      <w:r>
        <w:t>Gramatica P, Sangion A. A Historical Excursus on the Statistical Validation Parameters for QSAR Models: A Clarification Concerning Metrics and Terminology. J Chem Inf Model. 2016;56(6):1127-1131. doi:10.1021/acs.jcim.6b00088. PMID: 27218604.</w:t>
      </w:r>
    </w:p>
    <w:p w14:paraId="0D7D06A1" w14:textId="77777777" w:rsidR="007C6891" w:rsidRDefault="004A17CB">
      <w:pPr>
        <w:pStyle w:val="ListParagraph"/>
        <w:tabs>
          <w:tab w:val="left" w:pos="720"/>
        </w:tabs>
        <w:ind w:left="720" w:hanging="360"/>
      </w:pPr>
      <w:r>
        <w:t>25.</w:t>
      </w:r>
      <w:r>
        <w:tab/>
        <w:t xml:space="preserve">DeepautoQSAR hardware benchmark - Schrödinger. Retrieved 2026-09-25, from </w:t>
      </w:r>
      <w:hyperlink r:id="rId70">
        <w:r>
          <w:rPr>
            <w:color w:val="1F5132"/>
            <w:u w:val="single"/>
          </w:rPr>
          <w:t>https://www.schrodinger.com/materials-science/learn/white-papers/deepautoqsar-hardware-benchmark/</w:t>
        </w:r>
      </w:hyperlink>
    </w:p>
    <w:p w14:paraId="107409FC" w14:textId="77777777" w:rsidR="007C6891" w:rsidRDefault="004A17CB">
      <w:pPr>
        <w:pStyle w:val="ListParagraph"/>
        <w:tabs>
          <w:tab w:val="left" w:pos="1080"/>
        </w:tabs>
        <w:ind w:left="1080" w:hanging="360"/>
      </w:pPr>
      <w:r>
        <w:t>1.</w:t>
      </w:r>
      <w:r>
        <w:tab/>
        <w:t xml:space="preserve">Retrieved 2026-09-25, from </w:t>
      </w:r>
      <w:hyperlink r:id="rId71">
        <w:r>
          <w:rPr>
            <w:color w:val="1F5132"/>
            <w:u w:val="single"/>
          </w:rPr>
          <w:t>https://chemrxiv.org/engage/api-gateway/chemrxiv/assets/orp/resource/item/60c755bf842e65adc6db4393/original/efficient-exploration-of-chemical-space-with-docking-and-deep-learning.pdf</w:t>
        </w:r>
      </w:hyperlink>
    </w:p>
    <w:sectPr w:rsidR="007C6891">
      <w:headerReference w:type="default" r:id="rId72"/>
      <w:footerReference w:type="default" r:id="rId7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64DBD" w14:textId="77777777" w:rsidR="004A17CB" w:rsidRDefault="004A17CB">
      <w:pPr>
        <w:spacing w:after="0" w:line="240" w:lineRule="auto"/>
      </w:pPr>
      <w:r>
        <w:separator/>
      </w:r>
    </w:p>
  </w:endnote>
  <w:endnote w:type="continuationSeparator" w:id="0">
    <w:p w14:paraId="1D0215D9" w14:textId="77777777" w:rsidR="004A17CB" w:rsidRDefault="004A17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23247" w14:textId="77777777" w:rsidR="007C6891" w:rsidRDefault="004A17CB">
    <w:pPr>
      <w:tabs>
        <w:tab w:val="right" w:pos="9072"/>
      </w:tabs>
      <w:spacing w:after="0" w:line="240" w:lineRule="auto"/>
    </w:pPr>
    <w:r>
      <w:rPr>
        <w:noProof/>
      </w:rPr>
      <w:drawing>
        <wp:inline distT="0" distB="0" distL="0" distR="0" wp14:anchorId="7BF5C63D" wp14:editId="1EC2FBE3">
          <wp:extent cx="76200" cy="76200"/>
          <wp:effectExtent l="0" t="0" r="0" b="0"/>
          <wp:docPr id="1" name="HC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CLogo"/>
                  <pic:cNvPicPr/>
                </pic:nvPicPr>
                <pic:blipFill>
                  <a:blip r:embed="rId1"/>
                  <a:stretch>
                    <a:fillRect/>
                  </a:stretch>
                </pic:blipFill>
                <pic:spPr>
                  <a:xfrm>
                    <a:off x="0" y="0"/>
                    <a:ext cx="76200" cy="76200"/>
                  </a:xfrm>
                  <a:prstGeom prst="rect">
                    <a:avLst/>
                  </a:prstGeom>
                </pic:spPr>
              </pic:pic>
            </a:graphicData>
          </a:graphic>
        </wp:inline>
      </w:drawing>
    </w:r>
    <w:r>
      <w:rPr>
        <w:rFonts w:ascii="Calibri" w:eastAsia="Calibri" w:hAnsi="Calibri" w:cs="Calibri"/>
        <w:color w:val="5A5A5A"/>
        <w:sz w:val="16"/>
        <w:szCs w:val="16"/>
      </w:rPr>
      <w:t xml:space="preserve">  Generated by Human Chemical · 2026</w:t>
    </w:r>
    <w:r>
      <w:rPr>
        <w:rFonts w:ascii="Calibri" w:eastAsia="Calibri" w:hAnsi="Calibri" w:cs="Calibri"/>
        <w:color w:val="5A5A5A"/>
        <w:sz w:val="16"/>
        <w:szCs w:val="16"/>
      </w:rPr>
      <w:tab/>
    </w:r>
    <w:r>
      <w:rPr>
        <w:rFonts w:ascii="Calibri" w:eastAsia="Calibri" w:hAnsi="Calibri" w:cs="Calibri"/>
        <w:color w:val="5A5A5A"/>
        <w:sz w:val="16"/>
        <w:szCs w:val="16"/>
      </w:rPr>
      <w:fldChar w:fldCharType="begin"/>
    </w:r>
    <w:r>
      <w:rPr>
        <w:rFonts w:ascii="Calibri" w:eastAsia="Calibri" w:hAnsi="Calibri" w:cs="Calibri"/>
        <w:color w:val="5A5A5A"/>
        <w:sz w:val="16"/>
        <w:szCs w:val="16"/>
      </w:rPr>
      <w:instrText xml:space="preserve"> PAGE </w:instrText>
    </w:r>
    <w:r>
      <w:rPr>
        <w:rFonts w:ascii="Calibri" w:eastAsia="Calibri" w:hAnsi="Calibri" w:cs="Calibri"/>
        <w:color w:val="5A5A5A"/>
        <w:sz w:val="16"/>
        <w:szCs w:val="16"/>
      </w:rPr>
      <w:fldChar w:fldCharType="separate"/>
    </w:r>
    <w:r w:rsidR="00E5624E">
      <w:rPr>
        <w:rFonts w:ascii="Calibri" w:eastAsia="Calibri" w:hAnsi="Calibri" w:cs="Calibri"/>
        <w:noProof/>
        <w:color w:val="5A5A5A"/>
        <w:sz w:val="16"/>
        <w:szCs w:val="16"/>
      </w:rPr>
      <w:t>1</w:t>
    </w:r>
    <w:r>
      <w:rPr>
        <w:rFonts w:ascii="Calibri" w:eastAsia="Calibri" w:hAnsi="Calibri" w:cs="Calibri"/>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2BD0B" w14:textId="77777777" w:rsidR="004A17CB" w:rsidRDefault="004A17CB">
      <w:pPr>
        <w:spacing w:after="0" w:line="240" w:lineRule="auto"/>
      </w:pPr>
      <w:r>
        <w:separator/>
      </w:r>
    </w:p>
  </w:footnote>
  <w:footnote w:type="continuationSeparator" w:id="0">
    <w:p w14:paraId="181A1ECD" w14:textId="77777777" w:rsidR="004A17CB" w:rsidRDefault="004A17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3C1E0" w14:textId="77777777" w:rsidR="007C6891" w:rsidRDefault="007C689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E6ECF"/>
    <w:multiLevelType w:val="hybridMultilevel"/>
    <w:tmpl w:val="9028E8B4"/>
    <w:lvl w:ilvl="0" w:tplc="EF9A7442">
      <w:start w:val="1"/>
      <w:numFmt w:val="decimal"/>
      <w:lvlText w:val="%1."/>
      <w:lvlJc w:val="left"/>
      <w:pPr>
        <w:ind w:left="720" w:hanging="360"/>
      </w:pPr>
      <w:rPr>
        <w:rFonts w:ascii="Georgia" w:eastAsia="Georgia" w:hAnsi="Georgia" w:cs="Georgia"/>
        <w:color w:val="171717"/>
        <w:sz w:val="20"/>
        <w:szCs w:val="20"/>
      </w:rPr>
    </w:lvl>
    <w:lvl w:ilvl="1" w:tplc="A3B01CF2">
      <w:start w:val="1"/>
      <w:numFmt w:val="lowerLetter"/>
      <w:lvlText w:val="%2."/>
      <w:lvlJc w:val="left"/>
      <w:pPr>
        <w:ind w:left="1440" w:hanging="360"/>
      </w:pPr>
      <w:rPr>
        <w:rFonts w:ascii="Georgia" w:eastAsia="Georgia" w:hAnsi="Georgia" w:cs="Georgia"/>
        <w:color w:val="171717"/>
        <w:sz w:val="20"/>
        <w:szCs w:val="20"/>
      </w:rPr>
    </w:lvl>
    <w:lvl w:ilvl="2" w:tplc="F446CA64">
      <w:numFmt w:val="decimal"/>
      <w:lvlText w:val=""/>
      <w:lvlJc w:val="left"/>
    </w:lvl>
    <w:lvl w:ilvl="3" w:tplc="DFE859F6">
      <w:numFmt w:val="decimal"/>
      <w:lvlText w:val=""/>
      <w:lvlJc w:val="left"/>
    </w:lvl>
    <w:lvl w:ilvl="4" w:tplc="9D5C558E">
      <w:numFmt w:val="decimal"/>
      <w:lvlText w:val=""/>
      <w:lvlJc w:val="left"/>
    </w:lvl>
    <w:lvl w:ilvl="5" w:tplc="7CBCA7C8">
      <w:numFmt w:val="decimal"/>
      <w:lvlText w:val=""/>
      <w:lvlJc w:val="left"/>
    </w:lvl>
    <w:lvl w:ilvl="6" w:tplc="44B2C85E">
      <w:numFmt w:val="decimal"/>
      <w:lvlText w:val=""/>
      <w:lvlJc w:val="left"/>
    </w:lvl>
    <w:lvl w:ilvl="7" w:tplc="4692D50C">
      <w:numFmt w:val="decimal"/>
      <w:lvlText w:val=""/>
      <w:lvlJc w:val="left"/>
    </w:lvl>
    <w:lvl w:ilvl="8" w:tplc="E9E8112C">
      <w:numFmt w:val="decimal"/>
      <w:lvlText w:val=""/>
      <w:lvlJc w:val="left"/>
    </w:lvl>
  </w:abstractNum>
  <w:abstractNum w:abstractNumId="1" w15:restartNumberingAfterBreak="0">
    <w:nsid w:val="2AFA77AE"/>
    <w:multiLevelType w:val="hybridMultilevel"/>
    <w:tmpl w:val="2EB65F7A"/>
    <w:lvl w:ilvl="0" w:tplc="390A9E32">
      <w:start w:val="1"/>
      <w:numFmt w:val="bullet"/>
      <w:lvlText w:val="●"/>
      <w:lvlJc w:val="left"/>
      <w:pPr>
        <w:ind w:left="720" w:hanging="360"/>
      </w:pPr>
    </w:lvl>
    <w:lvl w:ilvl="1" w:tplc="51769DEA">
      <w:start w:val="1"/>
      <w:numFmt w:val="bullet"/>
      <w:lvlText w:val="○"/>
      <w:lvlJc w:val="left"/>
      <w:pPr>
        <w:ind w:left="1440" w:hanging="360"/>
      </w:pPr>
    </w:lvl>
    <w:lvl w:ilvl="2" w:tplc="A63823EC">
      <w:start w:val="1"/>
      <w:numFmt w:val="bullet"/>
      <w:lvlText w:val="■"/>
      <w:lvlJc w:val="left"/>
      <w:pPr>
        <w:ind w:left="2160" w:hanging="360"/>
      </w:pPr>
    </w:lvl>
    <w:lvl w:ilvl="3" w:tplc="6F9E85C0">
      <w:start w:val="1"/>
      <w:numFmt w:val="bullet"/>
      <w:lvlText w:val="●"/>
      <w:lvlJc w:val="left"/>
      <w:pPr>
        <w:ind w:left="2880" w:hanging="360"/>
      </w:pPr>
    </w:lvl>
    <w:lvl w:ilvl="4" w:tplc="840406B6">
      <w:start w:val="1"/>
      <w:numFmt w:val="bullet"/>
      <w:lvlText w:val="○"/>
      <w:lvlJc w:val="left"/>
      <w:pPr>
        <w:ind w:left="3600" w:hanging="360"/>
      </w:pPr>
    </w:lvl>
    <w:lvl w:ilvl="5" w:tplc="CE981782">
      <w:start w:val="1"/>
      <w:numFmt w:val="bullet"/>
      <w:lvlText w:val="■"/>
      <w:lvlJc w:val="left"/>
      <w:pPr>
        <w:ind w:left="4320" w:hanging="360"/>
      </w:pPr>
    </w:lvl>
    <w:lvl w:ilvl="6" w:tplc="1D300372">
      <w:start w:val="1"/>
      <w:numFmt w:val="bullet"/>
      <w:lvlText w:val="●"/>
      <w:lvlJc w:val="left"/>
      <w:pPr>
        <w:ind w:left="5040" w:hanging="360"/>
      </w:pPr>
    </w:lvl>
    <w:lvl w:ilvl="7" w:tplc="91AAA166">
      <w:start w:val="1"/>
      <w:numFmt w:val="bullet"/>
      <w:lvlText w:val="●"/>
      <w:lvlJc w:val="left"/>
      <w:pPr>
        <w:ind w:left="5760" w:hanging="360"/>
      </w:pPr>
    </w:lvl>
    <w:lvl w:ilvl="8" w:tplc="7428998E">
      <w:start w:val="1"/>
      <w:numFmt w:val="bullet"/>
      <w:lvlText w:val="●"/>
      <w:lvlJc w:val="left"/>
      <w:pPr>
        <w:ind w:left="6480" w:hanging="360"/>
      </w:pPr>
    </w:lvl>
  </w:abstractNum>
  <w:abstractNum w:abstractNumId="2" w15:restartNumberingAfterBreak="0">
    <w:nsid w:val="359671C6"/>
    <w:multiLevelType w:val="hybridMultilevel"/>
    <w:tmpl w:val="14707372"/>
    <w:lvl w:ilvl="0" w:tplc="3E84DA4A">
      <w:start w:val="1"/>
      <w:numFmt w:val="bullet"/>
      <w:lvlText w:val="•"/>
      <w:lvlJc w:val="left"/>
      <w:pPr>
        <w:ind w:left="720" w:hanging="360"/>
      </w:pPr>
      <w:rPr>
        <w:rFonts w:ascii="Georgia" w:eastAsia="Georgia" w:hAnsi="Georgia" w:cs="Georgia"/>
        <w:color w:val="171717"/>
        <w:sz w:val="20"/>
        <w:szCs w:val="20"/>
      </w:rPr>
    </w:lvl>
    <w:lvl w:ilvl="1" w:tplc="F176D1F4">
      <w:start w:val="1"/>
      <w:numFmt w:val="bullet"/>
      <w:lvlText w:val="–"/>
      <w:lvlJc w:val="left"/>
      <w:pPr>
        <w:ind w:left="1440" w:hanging="360"/>
      </w:pPr>
      <w:rPr>
        <w:rFonts w:ascii="Georgia" w:eastAsia="Georgia" w:hAnsi="Georgia" w:cs="Georgia"/>
        <w:color w:val="171717"/>
        <w:sz w:val="20"/>
        <w:szCs w:val="20"/>
      </w:rPr>
    </w:lvl>
    <w:lvl w:ilvl="2" w:tplc="3F4EE7BE">
      <w:numFmt w:val="decimal"/>
      <w:lvlText w:val=""/>
      <w:lvlJc w:val="left"/>
    </w:lvl>
    <w:lvl w:ilvl="3" w:tplc="206EA4F8">
      <w:numFmt w:val="decimal"/>
      <w:lvlText w:val=""/>
      <w:lvlJc w:val="left"/>
    </w:lvl>
    <w:lvl w:ilvl="4" w:tplc="3A3461AC">
      <w:numFmt w:val="decimal"/>
      <w:lvlText w:val=""/>
      <w:lvlJc w:val="left"/>
    </w:lvl>
    <w:lvl w:ilvl="5" w:tplc="8BF6F332">
      <w:numFmt w:val="decimal"/>
      <w:lvlText w:val=""/>
      <w:lvlJc w:val="left"/>
    </w:lvl>
    <w:lvl w:ilvl="6" w:tplc="54D02312">
      <w:numFmt w:val="decimal"/>
      <w:lvlText w:val=""/>
      <w:lvlJc w:val="left"/>
    </w:lvl>
    <w:lvl w:ilvl="7" w:tplc="B2AC0F08">
      <w:numFmt w:val="decimal"/>
      <w:lvlText w:val=""/>
      <w:lvlJc w:val="left"/>
    </w:lvl>
    <w:lvl w:ilvl="8" w:tplc="1E44764C">
      <w:numFmt w:val="decimal"/>
      <w:lvlText w:val=""/>
      <w:lvlJc w:val="left"/>
    </w:lvl>
  </w:abstractNum>
  <w:num w:numId="1" w16cid:durableId="112601964">
    <w:abstractNumId w:val="1"/>
    <w:lvlOverride w:ilvl="0">
      <w:startOverride w:val="1"/>
    </w:lvlOverride>
  </w:num>
  <w:num w:numId="2" w16cid:durableId="734667183">
    <w:abstractNumId w:val="2"/>
    <w:lvlOverride w:ilvl="0">
      <w:startOverride w:val="1"/>
    </w:lvlOverride>
  </w:num>
  <w:num w:numId="3" w16cid:durableId="20840650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6891"/>
    <w:rsid w:val="004A17CB"/>
    <w:rsid w:val="007C6891"/>
    <w:rsid w:val="00857AD0"/>
    <w:rsid w:val="00E562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9A521"/>
  <w15:docId w15:val="{98ED553B-75B2-49B1-AB48-CA6291D71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71717"/>
        <w:lang w:val="en-US" w:eastAsia="en-US" w:bidi="ar-SA"/>
      </w:rPr>
    </w:rPrDefault>
    <w:pPrDefault>
      <w:pPr>
        <w:spacing w:line="38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276" w:lineRule="auto"/>
    </w:pPr>
    <w:rPr>
      <w:rFonts w:ascii="Arial" w:eastAsia="Arial" w:hAnsi="Arial" w:cs="Arial"/>
      <w:color w:val="1A1A1A"/>
      <w:sz w:val="21"/>
    </w:rPr>
  </w:style>
  <w:style w:type="paragraph" w:styleId="Heading1">
    <w:name w:val="heading 1"/>
    <w:basedOn w:val="Normal"/>
    <w:next w:val="Normal"/>
    <w:uiPriority w:val="9"/>
    <w:qFormat/>
    <w:pPr>
      <w:keepNext/>
      <w:keepLines/>
      <w:pBdr>
        <w:bottom w:val="single" w:sz="8" w:space="4" w:color="1F5132"/>
      </w:pBdr>
      <w:spacing w:before="280" w:after="160"/>
      <w:outlineLvl w:val="0"/>
    </w:pPr>
    <w:rPr>
      <w:b/>
      <w:color w:val="1F5132"/>
      <w:sz w:val="30"/>
      <w:szCs w:val="28"/>
    </w:rPr>
  </w:style>
  <w:style w:type="paragraph" w:styleId="Heading2">
    <w:name w:val="heading 2"/>
    <w:basedOn w:val="Normal"/>
    <w:next w:val="Normal"/>
    <w:uiPriority w:val="9"/>
    <w:unhideWhenUsed/>
    <w:qFormat/>
    <w:pPr>
      <w:keepNext/>
      <w:keepLines/>
      <w:spacing w:before="220" w:after="120"/>
      <w:outlineLvl w:val="1"/>
    </w:pPr>
    <w:rPr>
      <w:b/>
      <w:sz w:val="25"/>
      <w:szCs w:val="24"/>
    </w:rPr>
  </w:style>
  <w:style w:type="paragraph" w:styleId="Heading3">
    <w:name w:val="heading 3"/>
    <w:basedOn w:val="Normal"/>
    <w:next w:val="Normal"/>
    <w:uiPriority w:val="9"/>
    <w:unhideWhenUsed/>
    <w:qFormat/>
    <w:pPr>
      <w:keepNext/>
      <w:keepLines/>
      <w:spacing w:before="160" w:after="80"/>
      <w:outlineLvl w:val="2"/>
    </w:pPr>
    <w:rPr>
      <w:b/>
      <w:color w:val="1F5132"/>
      <w:sz w:val="22"/>
      <w:szCs w:val="22"/>
    </w:rPr>
  </w:style>
  <w:style w:type="paragraph" w:styleId="Heading4">
    <w:name w:val="heading 4"/>
    <w:basedOn w:val="Normal"/>
    <w:next w:val="Normal"/>
    <w:uiPriority w:val="9"/>
    <w:semiHidden/>
    <w:unhideWhenUsed/>
    <w:qFormat/>
    <w:pPr>
      <w:keepNext/>
      <w:keepLines/>
      <w:outlineLvl w:val="3"/>
    </w:pPr>
    <w:rPr>
      <w:b/>
      <w:i/>
      <w:iCs/>
      <w:color w:val="171717"/>
    </w:rPr>
  </w:style>
  <w:style w:type="paragraph" w:styleId="Heading5">
    <w:name w:val="heading 5"/>
    <w:basedOn w:val="Normal"/>
    <w:next w:val="Normal"/>
    <w:uiPriority w:val="9"/>
    <w:semiHidden/>
    <w:unhideWhenUsed/>
    <w:qFormat/>
    <w:pPr>
      <w:keepNext/>
      <w:keepLines/>
      <w:outlineLvl w:val="4"/>
    </w:pPr>
    <w:rPr>
      <w:b/>
      <w:color w:val="171717"/>
    </w:rPr>
  </w:style>
  <w:style w:type="paragraph" w:styleId="Heading6">
    <w:name w:val="heading 6"/>
    <w:basedOn w:val="Normal"/>
    <w:next w:val="Normal"/>
    <w:uiPriority w:val="9"/>
    <w:semiHidden/>
    <w:unhideWhenUsed/>
    <w:qFormat/>
    <w:pPr>
      <w:keepNext/>
      <w:keepLines/>
      <w:outlineLvl w:val="5"/>
    </w:pPr>
    <w:rPr>
      <w:b/>
      <w:color w:val="1717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Pr>
    <w:rPr>
      <w:b/>
      <w:color w:val="1F5132"/>
      <w:sz w:val="44"/>
      <w:szCs w:val="40"/>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1F5132"/>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semiHidden/>
    <w:unhideWhenUsed/>
    <w:rPr>
      <w:sz w:val="20"/>
      <w:szCs w:val="20"/>
    </w:rPr>
  </w:style>
  <w:style w:type="paragraph" w:styleId="Quote">
    <w:name w:val="Quote"/>
    <w:basedOn w:val="Normal"/>
    <w:next w:val="Normal"/>
    <w:qFormat/>
    <w:pPr>
      <w:pBdr>
        <w:left w:val="single" w:sz="12" w:space="8" w:color="E8E8E8"/>
      </w:pBdr>
      <w:spacing w:before="120" w:after="120" w:line="380" w:lineRule="exact"/>
      <w:ind w:left="480"/>
    </w:pPr>
    <w:rPr>
      <w:color w:val="5A6470"/>
      <w:sz w:val="20"/>
    </w:rPr>
  </w:style>
  <w:style w:type="paragraph" w:customStyle="1" w:styleId="TableHeader">
    <w:name w:val="Table Header"/>
    <w:basedOn w:val="Normal"/>
    <w:qFormat/>
    <w:pPr>
      <w:spacing w:before="40" w:after="40" w:line="240" w:lineRule="auto"/>
    </w:pPr>
    <w:rPr>
      <w:b/>
      <w:bCs/>
      <w:color w:val="FFFFFF"/>
      <w:sz w:val="20"/>
      <w:szCs w:val="17"/>
    </w:rPr>
  </w:style>
  <w:style w:type="paragraph" w:customStyle="1" w:styleId="TableBody">
    <w:name w:val="Table Body"/>
    <w:basedOn w:val="Normal"/>
    <w:qFormat/>
    <w:pPr>
      <w:spacing w:before="40" w:after="40" w:line="260" w:lineRule="auto"/>
    </w:pPr>
    <w:rPr>
      <w:sz w:val="20"/>
    </w:rPr>
  </w:style>
  <w:style w:type="paragraph" w:customStyle="1" w:styleId="CodeBlock">
    <w:name w:val="Code Block"/>
    <w:basedOn w:val="Normal"/>
    <w:qFormat/>
    <w:pPr>
      <w:spacing w:before="80" w:after="80" w:line="260" w:lineRule="auto"/>
    </w:pPr>
    <w:rPr>
      <w:rFonts w:ascii="Courier New" w:eastAsia="Courier New" w:hAnsi="Courier New" w:cs="Courier New"/>
      <w:color w:val="171717"/>
      <w:sz w:val="18"/>
      <w:szCs w:val="18"/>
    </w:rPr>
  </w:style>
  <w:style w:type="character" w:customStyle="1" w:styleId="InlineCode">
    <w:name w:val="Inline Code"/>
    <w:uiPriority w:val="99"/>
    <w:unhideWhenUsed/>
    <w:rPr>
      <w:rFonts w:ascii="Courier New" w:eastAsia="Courier New" w:hAnsi="Courier New" w:cs="Courier New"/>
      <w:color w:val="171717"/>
      <w:sz w:val="18"/>
      <w:szCs w:val="18"/>
      <w:shd w:val="clear" w:color="auto" w:fill="F2F1F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intuitionlabs.ai/pdfs/admet-prediction-software-features-accuracy-fda-nams.pdf" TargetMode="External"/><Relationship Id="rId21" Type="http://schemas.openxmlformats.org/officeDocument/2006/relationships/hyperlink" Target="file:///C:\Users\Scott.Coffin\Downloads\25819" TargetMode="External"/><Relationship Id="rId42" Type="http://schemas.openxmlformats.org/officeDocument/2006/relationships/hyperlink" Target="https://www.biorxiv.org/content/biorxiv/early/2022/12/15/2022.12.13.520154.full.pdf" TargetMode="External"/><Relationship Id="rId47" Type="http://schemas.openxmlformats.org/officeDocument/2006/relationships/hyperlink" Target="file:///C:\Users\Scott.Coffin\Downloads\25819" TargetMode="External"/><Relationship Id="rId63" Type="http://schemas.openxmlformats.org/officeDocument/2006/relationships/hyperlink" Target="https://colab.ws/articles/10.1186%2Fs13321-024-00937-7" TargetMode="External"/><Relationship Id="rId68" Type="http://schemas.openxmlformats.org/officeDocument/2006/relationships/hyperlink" Target="https://www.swissadme.ch/faq.php" TargetMode="External"/><Relationship Id="rId2" Type="http://schemas.openxmlformats.org/officeDocument/2006/relationships/styles" Target="styles.xml"/><Relationship Id="rId16" Type="http://schemas.openxmlformats.org/officeDocument/2006/relationships/hyperlink" Target="https://academic.oup.com/bioinformatics/article/36/22-23/5545/6020256" TargetMode="External"/><Relationship Id="rId29" Type="http://schemas.openxmlformats.org/officeDocument/2006/relationships/hyperlink" Target="https://pmc.ncbi.nlm.nih.gov/articles/PMC4434528/" TargetMode="External"/><Relationship Id="rId11" Type="http://schemas.openxmlformats.org/officeDocument/2006/relationships/hyperlink" Target="https://pubs.acs.org/doi/10.1021/acs.jcim.4c00457" TargetMode="External"/><Relationship Id="rId24" Type="http://schemas.openxmlformats.org/officeDocument/2006/relationships/hyperlink" Target="https://www.schrodinger.com/life-science/learn/white-papers/benchmark-study-deepautoqsar-chemprop-and-deeppurpose-admet-subset-therapeutic-data/" TargetMode="External"/><Relationship Id="rId32" Type="http://schemas.openxmlformats.org/officeDocument/2006/relationships/hyperlink" Target="file:///C:\Users\Scott.Coffin\Downloads\25819" TargetMode="External"/><Relationship Id="rId37" Type="http://schemas.openxmlformats.org/officeDocument/2006/relationships/hyperlink" Target="file:///C:\Users\Scott.Coffin\Downloads\25819" TargetMode="External"/><Relationship Id="rId40" Type="http://schemas.openxmlformats.org/officeDocument/2006/relationships/hyperlink" Target="https://academic.oup.com/bioinformatics/article/40/7/btae416/7698030" TargetMode="External"/><Relationship Id="rId45" Type="http://schemas.openxmlformats.org/officeDocument/2006/relationships/hyperlink" Target="https://pubs.acs.org/doi/10.1021/acs.jcim.4c00457" TargetMode="External"/><Relationship Id="rId53" Type="http://schemas.openxmlformats.org/officeDocument/2006/relationships/hyperlink" Target="https://link.springer.com/article/10.1186/s13321-024-00908-y" TargetMode="External"/><Relationship Id="rId58" Type="http://schemas.openxmlformats.org/officeDocument/2006/relationships/hyperlink" Target="http://arxiv.org/pdf/2310.00174" TargetMode="External"/><Relationship Id="rId66" Type="http://schemas.openxmlformats.org/officeDocument/2006/relationships/hyperlink" Target="https://intuitionlabs.ai/pdfs/admet-prediction-software-features-accuracy-fda-nams.pdf" TargetMode="External"/><Relationship Id="rId74"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https://www.biorxiv.org/content/biorxiv/early/2022/12/15/2022.12.13.520154.full.pdf" TargetMode="External"/><Relationship Id="rId19" Type="http://schemas.openxmlformats.org/officeDocument/2006/relationships/hyperlink" Target="file:///C:\Users\Scott.Coffin\Downloads\25819" TargetMode="External"/><Relationship Id="rId14" Type="http://schemas.openxmlformats.org/officeDocument/2006/relationships/hyperlink" Target="https://github.com/ersilia-os/zaira-chem-tdc-benchmark" TargetMode="External"/><Relationship Id="rId22" Type="http://schemas.openxmlformats.org/officeDocument/2006/relationships/hyperlink" Target="file:///C:\Users\Scott.Coffin\Downloads\25819" TargetMode="External"/><Relationship Id="rId27" Type="http://schemas.openxmlformats.org/officeDocument/2006/relationships/hyperlink" Target="https://scispace.com/papers/admetsar-a-comprehensive-source-and-free-tool-for-assessment-2bdunz503y" TargetMode="External"/><Relationship Id="rId30" Type="http://schemas.openxmlformats.org/officeDocument/2006/relationships/hyperlink" Target="https://pmc.ncbi.nlm.nih.gov/articles/PMC12994593/table/table001/" TargetMode="External"/><Relationship Id="rId35" Type="http://schemas.openxmlformats.org/officeDocument/2006/relationships/hyperlink" Target="file:///C:\Users\Scott.Coffin\Downloads\25819" TargetMode="External"/><Relationship Id="rId43" Type="http://schemas.openxmlformats.org/officeDocument/2006/relationships/hyperlink" Target="https://github.com/ersilia-os/zaira-chem-tdc-benchmark" TargetMode="External"/><Relationship Id="rId48" Type="http://schemas.openxmlformats.org/officeDocument/2006/relationships/hyperlink" Target="https://pubs.acs.org/doi/10.1021/acs.jcim.4c00457" TargetMode="External"/><Relationship Id="rId56" Type="http://schemas.openxmlformats.org/officeDocument/2006/relationships/hyperlink" Target="https://chemrxiv.org/engage/api-gateway/chemrxiv/assets/orp/resource/item/60c755bf842e65adc6db4393/original/efficient-exploration-of-chemical-space-with-docking-and-deep-learning.pdf" TargetMode="External"/><Relationship Id="rId64" Type="http://schemas.openxmlformats.org/officeDocument/2006/relationships/hyperlink" Target="https://www.schrodinger.com/life-science/learn/white-papers/benchmark-study-deepautoqsar-chemprop-and-deeppurpose-admet-subset-therapeutic-data/" TargetMode="External"/><Relationship Id="rId69" Type="http://schemas.openxmlformats.org/officeDocument/2006/relationships/hyperlink" Target="https://orcid.org/0000-0002-4541-646X" TargetMode="External"/><Relationship Id="rId8" Type="http://schemas.openxmlformats.org/officeDocument/2006/relationships/hyperlink" Target="http://arxiv.org/pdf/2310.00174" TargetMode="External"/><Relationship Id="rId51" Type="http://schemas.openxmlformats.org/officeDocument/2006/relationships/hyperlink" Target="https://orcid.org/0000-0002-4541-646X" TargetMode="External"/><Relationship Id="rId72"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yperlink" Target="https://link.springer.com/article/10.1186/s13321-024-00908-y" TargetMode="External"/><Relationship Id="rId17" Type="http://schemas.openxmlformats.org/officeDocument/2006/relationships/hyperlink" Target="https://pubs.acs.org/doi/abs/10.1021/acs.jcim.5c00516" TargetMode="External"/><Relationship Id="rId25" Type="http://schemas.openxmlformats.org/officeDocument/2006/relationships/hyperlink" Target="https://intuitionlabs.ai/pdfs/admet-prediction-software-features-accuracy-fda-nams.pdf" TargetMode="External"/><Relationship Id="rId33" Type="http://schemas.openxmlformats.org/officeDocument/2006/relationships/hyperlink" Target="file:///C:\Users\Scott.Coffin\Downloads\25819" TargetMode="External"/><Relationship Id="rId38" Type="http://schemas.openxmlformats.org/officeDocument/2006/relationships/hyperlink" Target="https://www.sciencedirect.com/science/article/pii/S209517792500228X" TargetMode="External"/><Relationship Id="rId46" Type="http://schemas.openxmlformats.org/officeDocument/2006/relationships/hyperlink" Target="file:///C:\Users\Scott.Coffin\Downloads\25819" TargetMode="External"/><Relationship Id="rId59" Type="http://schemas.openxmlformats.org/officeDocument/2006/relationships/hyperlink" Target="https://www.sciencedirect.com/science/article/pii/S209517792500228X" TargetMode="External"/><Relationship Id="rId67" Type="http://schemas.openxmlformats.org/officeDocument/2006/relationships/hyperlink" Target="https://scispace.com/papers/admetsar-a-comprehensive-source-and-free-tool-for-assessment-2bdunz503y" TargetMode="External"/><Relationship Id="rId20" Type="http://schemas.openxmlformats.org/officeDocument/2006/relationships/hyperlink" Target="https://www.biorxiv.org/content/10.1101/2023.12.28.573531v1.full.pdf" TargetMode="External"/><Relationship Id="rId41" Type="http://schemas.openxmlformats.org/officeDocument/2006/relationships/hyperlink" Target="https://www.schrodinger.com/life-science/learn/white-papers/benchmark-study-deepautoqsar-chemprop-and-deeppurpose-admet-subset-therapeutic-data/" TargetMode="External"/><Relationship Id="rId54" Type="http://schemas.openxmlformats.org/officeDocument/2006/relationships/hyperlink" Target="https://academic.oup.com/bioinformatics/article/36/22-23/5545/6020256" TargetMode="External"/><Relationship Id="rId62" Type="http://schemas.openxmlformats.org/officeDocument/2006/relationships/hyperlink" Target="https://github.com/ersilia-os/zaira-chem-tdc-benchmark" TargetMode="External"/><Relationship Id="rId70" Type="http://schemas.openxmlformats.org/officeDocument/2006/relationships/hyperlink" Target="https://www.schrodinger.com/materials-science/learn/white-papers/deepautoqsar-hardware-benchmark/" TargetMode="Externa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colab.ws/articles/10.1186%2Fs13321-024-00937-7" TargetMode="External"/><Relationship Id="rId23" Type="http://schemas.openxmlformats.org/officeDocument/2006/relationships/hyperlink" Target="file:///C:\Users\Scott.Coffin\Downloads\25819" TargetMode="External"/><Relationship Id="rId28" Type="http://schemas.openxmlformats.org/officeDocument/2006/relationships/hyperlink" Target="https://www.swissadme.ch/faq.php" TargetMode="External"/><Relationship Id="rId36" Type="http://schemas.openxmlformats.org/officeDocument/2006/relationships/hyperlink" Target="https://academic.oup.com/bioinformatics/article/40/7/btae416/7698030" TargetMode="External"/><Relationship Id="rId49" Type="http://schemas.openxmlformats.org/officeDocument/2006/relationships/hyperlink" Target="https://link.springer.com/article/10.1186/s13321-024-00908-y" TargetMode="External"/><Relationship Id="rId57" Type="http://schemas.openxmlformats.org/officeDocument/2006/relationships/hyperlink" Target="https://academic.oup.com/bioinformatics/article/40/7/btae416/7698030" TargetMode="External"/><Relationship Id="rId10" Type="http://schemas.openxmlformats.org/officeDocument/2006/relationships/hyperlink" Target="https://github.com/swansonk14/admet_ai" TargetMode="External"/><Relationship Id="rId31" Type="http://schemas.openxmlformats.org/officeDocument/2006/relationships/hyperlink" Target="https://academic.oup.com/nar/article/49/W1/W5/6249611" TargetMode="External"/><Relationship Id="rId44" Type="http://schemas.openxmlformats.org/officeDocument/2006/relationships/hyperlink" Target="https://colab.ws/articles/10.1186%2Fs13321-024-00937-7" TargetMode="External"/><Relationship Id="rId52" Type="http://schemas.openxmlformats.org/officeDocument/2006/relationships/hyperlink" Target="https://pubs.acs.org/doi/abs/10.1021/acs.jcim.6b00088?src=recsys" TargetMode="External"/><Relationship Id="rId60" Type="http://schemas.openxmlformats.org/officeDocument/2006/relationships/hyperlink" Target="https://github.com/swansonk14/admet_ai" TargetMode="External"/><Relationship Id="rId65" Type="http://schemas.openxmlformats.org/officeDocument/2006/relationships/hyperlink" Target="https://intuitionlabs.ai/pdfs/admet-prediction-software-features-accuracy-fda-nams.pdf" TargetMode="External"/><Relationship Id="rId73"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sciencedirect.com/science/article/pii/S209517792500228X" TargetMode="External"/><Relationship Id="rId13" Type="http://schemas.openxmlformats.org/officeDocument/2006/relationships/hyperlink" Target="https://www.biorxiv.org/content/biorxiv/early/2022/12/15/2022.12.13.520154.full.pdf" TargetMode="External"/><Relationship Id="rId18" Type="http://schemas.openxmlformats.org/officeDocument/2006/relationships/hyperlink" Target="https://pmc.ncbi.nlm.nih.gov/articles/PMC12994593/table/table001/" TargetMode="External"/><Relationship Id="rId39" Type="http://schemas.openxmlformats.org/officeDocument/2006/relationships/hyperlink" Target="https://www.schrodinger.com/life-science/learn/white-papers/benchmark-study-deepautoqsar-chemprop-and-deeppurpose-admet-subset-therapeutic-data/" TargetMode="External"/><Relationship Id="rId34" Type="http://schemas.openxmlformats.org/officeDocument/2006/relationships/hyperlink" Target="file:///C:\Users\Scott.Coffin\Downloads\25819" TargetMode="External"/><Relationship Id="rId50" Type="http://schemas.openxmlformats.org/officeDocument/2006/relationships/hyperlink" Target="https://pmc.ncbi.nlm.nih.gov/articles/PMC10504240/" TargetMode="External"/><Relationship Id="rId55" Type="http://schemas.openxmlformats.org/officeDocument/2006/relationships/hyperlink" Target="https://www.schrodinger.com/materials-science/learn/white-papers/deepautoqsar-hardware-benchmark/" TargetMode="External"/><Relationship Id="rId7" Type="http://schemas.openxmlformats.org/officeDocument/2006/relationships/hyperlink" Target="https://academic.oup.com/bioinformatics/article/40/7/btae416/7698030" TargetMode="External"/><Relationship Id="rId71" Type="http://schemas.openxmlformats.org/officeDocument/2006/relationships/hyperlink" Target="https://chemrxiv.org/engage/api-gateway/chemrxiv/assets/orp/resource/item/60c755bf842e65adc6db4393/original/efficient-exploration-of-chemical-space-with-docking-and-deep-learning.pdf"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4557</Words>
  <Characters>25975</Characters>
  <Application>Microsoft Office Word</Application>
  <DocSecurity>0</DocSecurity>
  <Lines>216</Lines>
  <Paragraphs>60</Paragraphs>
  <ScaleCrop>false</ScaleCrop>
  <Company/>
  <LinksUpToDate>false</LinksUpToDate>
  <CharactersWithSpaces>30472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Coffin, Scott@OEHHA</cp:lastModifiedBy>
  <cp:revision>1</cp:revision>
  <dcterms:created xsi:type="dcterms:W3CDTF">2026-03-05T17:19:00Z</dcterms:created>
  <dcterms:modified xsi:type="dcterms:W3CDTF">2026-09-25T17:07:00Z</dcterms:modified>
</cp:coreProperties>
</file>