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09A5" w14:textId="77777777" w:rsidR="00CA4F2F" w:rsidRDefault="00203421">
      <w:pPr>
        <w:pStyle w:val="Heading1"/>
      </w:pPr>
      <w:r>
        <w:t>Peer Review Report</w:t>
      </w:r>
    </w:p>
    <w:p w14:paraId="7C89FC11" w14:textId="77777777" w:rsidR="00CA4F2F" w:rsidRDefault="00203421">
      <w:r>
        <w:rPr>
          <w:b/>
        </w:rPr>
        <w:t>Manuscript:</w:t>
      </w:r>
      <w:r>
        <w:t xml:space="preserve"> </w:t>
      </w:r>
      <w:r>
        <w:rPr>
          <w:i/>
        </w:rPr>
        <w:t xml:space="preserve">No Single Architecture Wins: Ensembles and Conventional Machine Learning Match Pretrained Molecular Models Across 45 Property-Prediction </w:t>
      </w:r>
      <w:proofErr w:type="spellStart"/>
      <w:r>
        <w:rPr>
          <w:i/>
        </w:rPr>
        <w:t>Benchmarks</w:t>
      </w:r>
      <w:r>
        <w:rPr>
          <w:b/>
        </w:rPr>
        <w:t>Author</w:t>
      </w:r>
      <w:proofErr w:type="spellEnd"/>
      <w:r>
        <w:rPr>
          <w:b/>
        </w:rPr>
        <w:t>:</w:t>
      </w:r>
      <w:r>
        <w:t xml:space="preserve"> S. Coffin (single author), California </w:t>
      </w:r>
      <w:proofErr w:type="spellStart"/>
      <w:r>
        <w:t>OEHHA</w:t>
      </w:r>
      <w:r>
        <w:rPr>
          <w:b/>
        </w:rPr>
        <w:t>Target</w:t>
      </w:r>
      <w:proofErr w:type="spellEnd"/>
      <w:r>
        <w:rPr>
          <w:b/>
        </w:rPr>
        <w:t xml:space="preserve"> journal:</w:t>
      </w:r>
      <w:r>
        <w:t xml:space="preserve"> </w:t>
      </w:r>
      <w:r>
        <w:rPr>
          <w:i/>
        </w:rPr>
        <w:t>Journal of Cheminformatics</w:t>
      </w:r>
      <w:r>
        <w:t xml:space="preserve"> (software/benchmarking </w:t>
      </w:r>
      <w:proofErr w:type="gramStart"/>
      <w:r>
        <w:t>article)</w:t>
      </w:r>
      <w:r>
        <w:rPr>
          <w:b/>
        </w:rPr>
        <w:t>Reviewed</w:t>
      </w:r>
      <w:proofErr w:type="gramEnd"/>
      <w:r>
        <w:rPr>
          <w:b/>
        </w:rPr>
        <w:t xml:space="preserve"> build:</w:t>
      </w:r>
      <w:r>
        <w:t xml:space="preserve"> proof build explicitly marked "PROOF BUILD – not the submission file," dated 24 Sept 2026</w:t>
      </w:r>
    </w:p>
    <w:p w14:paraId="5498256A" w14:textId="77777777" w:rsidR="00CA4F2F" w:rsidRDefault="00203421">
      <w:pPr>
        <w:pStyle w:val="Quote"/>
      </w:pPr>
      <w:r>
        <w:rPr>
          <w:b/>
        </w:rPr>
        <w:t>Reviewer's scope note.</w:t>
      </w:r>
      <w:r>
        <w:t xml:space="preserve"> I assessed text, methodology, and citations in full. Figures were evaluated from their captions and described content only; I could not assess raster resolution, font embedding, or </w:t>
      </w:r>
      <w:proofErr w:type="spellStart"/>
      <w:r>
        <w:t>colour</w:t>
      </w:r>
      <w:proofErr w:type="spellEnd"/>
      <w:r>
        <w:t xml:space="preserve">-accessibility from this proof and have flagged that where it matters. All statements about what cited papers </w:t>
      </w:r>
      <w:proofErr w:type="gramStart"/>
      <w:r>
        <w:t>actually say</w:t>
      </w:r>
      <w:proofErr w:type="gramEnd"/>
      <w:r>
        <w:t xml:space="preserve"> were independently verified against the primary sources.</w:t>
      </w:r>
    </w:p>
    <w:p w14:paraId="6BE03C7B" w14:textId="77777777" w:rsidR="00CA4F2F" w:rsidRDefault="00CA4F2F">
      <w:pPr>
        <w:pBdr>
          <w:bottom w:val="single" w:sz="6" w:space="1" w:color="auto"/>
        </w:pBdr>
      </w:pPr>
    </w:p>
    <w:p w14:paraId="147D26E2" w14:textId="77777777" w:rsidR="00CA4F2F" w:rsidRDefault="00203421">
      <w:pPr>
        <w:pStyle w:val="Heading2"/>
      </w:pPr>
      <w:r>
        <w:t>PART A — Editor's Summary and Recommendation</w:t>
      </w:r>
    </w:p>
    <w:p w14:paraId="20496AAB" w14:textId="77777777" w:rsidR="00CA4F2F" w:rsidRDefault="00203421">
      <w:pPr>
        <w:pStyle w:val="Heading3"/>
      </w:pPr>
      <w:r>
        <w:t xml:space="preserve">Recommendation: </w:t>
      </w:r>
      <w:r>
        <w:t>Major Revision</w:t>
      </w:r>
      <w:r>
        <w:t xml:space="preserve"> (reconsider after revision; likely requires a second review round)</w:t>
      </w:r>
    </w:p>
    <w:p w14:paraId="3B8DEF4C" w14:textId="77777777" w:rsidR="00CA4F2F" w:rsidRDefault="00203421">
      <w:r>
        <w:t xml:space="preserve">This is a genuinely useful contribution with an honest, self-critical core, and it is well-aligned with </w:t>
      </w:r>
      <w:r>
        <w:rPr>
          <w:i/>
        </w:rPr>
        <w:t xml:space="preserve">Journal of </w:t>
      </w:r>
      <w:proofErr w:type="spellStart"/>
      <w:r>
        <w:rPr>
          <w:i/>
        </w:rPr>
        <w:t>Cheminformatics</w:t>
      </w:r>
      <w:r>
        <w:t>'s</w:t>
      </w:r>
      <w:proofErr w:type="spellEnd"/>
      <w:r>
        <w:t xml:space="preserve"> software/benchmarking remit. It is </w:t>
      </w:r>
      <w:r>
        <w:rPr>
          <w:b/>
        </w:rPr>
        <w:t>not</w:t>
      </w:r>
      <w:r>
        <w:t xml:space="preserve"> acceptable as-is, but the required changes are tractable and mostly do not threaten the central thesis. My recommendation rests on five gates that must clear before acceptance:</w:t>
      </w:r>
    </w:p>
    <w:p w14:paraId="4F2213E5" w14:textId="77777777" w:rsidR="00CA4F2F" w:rsidRDefault="00203421">
      <w:pPr>
        <w:pStyle w:val="ListParagraph"/>
        <w:tabs>
          <w:tab w:val="left" w:pos="720"/>
        </w:tabs>
        <w:ind w:left="720" w:hanging="360"/>
      </w:pPr>
      <w:r>
        <w:t>1.</w:t>
      </w:r>
      <w:r>
        <w:tab/>
      </w:r>
      <w:r>
        <w:rPr>
          <w:b/>
        </w:rPr>
        <w:t>Naming conflict (blocking — new since first review).</w:t>
      </w:r>
      <w:r>
        <w:t xml:space="preserve"> The tool's name, </w:t>
      </w:r>
      <w:proofErr w:type="spellStart"/>
      <w:r>
        <w:rPr>
          <w:b/>
        </w:rPr>
        <w:t>AutoQSAR</w:t>
      </w:r>
      <w:proofErr w:type="spellEnd"/>
      <w:r>
        <w:t xml:space="preserve">, collides directly with an established, trademarked Schrödinger product of the same name in the same domain. This must be resolved before a </w:t>
      </w:r>
      <w:proofErr w:type="spellStart"/>
      <w:r>
        <w:t>PyPI</w:t>
      </w:r>
      <w:proofErr w:type="spellEnd"/>
      <w:r>
        <w:t xml:space="preserve"> release and before publication (see Part B, §0).</w:t>
      </w:r>
    </w:p>
    <w:p w14:paraId="6962177F" w14:textId="77777777" w:rsidR="00CA4F2F" w:rsidRDefault="00203421">
      <w:pPr>
        <w:pStyle w:val="ListParagraph"/>
        <w:tabs>
          <w:tab w:val="left" w:pos="720"/>
        </w:tabs>
        <w:ind w:left="720" w:hanging="360"/>
      </w:pPr>
      <w:r>
        <w:t>2.</w:t>
      </w:r>
      <w:r>
        <w:tab/>
      </w:r>
      <w:r>
        <w:rPr>
          <w:b/>
        </w:rPr>
        <w:t>Statistical foundation (blocking).</w:t>
      </w:r>
      <w:r>
        <w:t xml:space="preserve"> The benchmark rests on a </w:t>
      </w:r>
      <w:r>
        <w:rPr>
          <w:i/>
        </w:rPr>
        <w:t>single split and single seed per dataset</w:t>
      </w:r>
      <w:r>
        <w:t>, which fails the TDC convention of mean ± SD over five seeds.</w:t>
      </w:r>
    </w:p>
    <w:p w14:paraId="732C6522" w14:textId="77777777" w:rsidR="00CA4F2F" w:rsidRDefault="00203421">
      <w:pPr>
        <w:pStyle w:val="ListParagraph"/>
        <w:tabs>
          <w:tab w:val="left" w:pos="720"/>
        </w:tabs>
        <w:ind w:left="720" w:hanging="360"/>
      </w:pPr>
      <w:r>
        <w:t>3.</w:t>
      </w:r>
      <w:r>
        <w:tab/>
      </w:r>
      <w:r>
        <w:rPr>
          <w:b/>
        </w:rPr>
        <w:t>Reference-set integrity of the "estimated rank" (blocking).</w:t>
      </w:r>
      <w:r>
        <w:t xml:space="preserve"> The headline placement claims are measured against curated published values that the manuscript's own cited source shows to be substantially unreliable.</w:t>
      </w:r>
    </w:p>
    <w:p w14:paraId="0930CF2D" w14:textId="77777777" w:rsidR="00CA4F2F" w:rsidRDefault="00203421">
      <w:pPr>
        <w:pStyle w:val="ListParagraph"/>
        <w:tabs>
          <w:tab w:val="left" w:pos="720"/>
        </w:tabs>
        <w:ind w:left="720" w:hanging="360"/>
      </w:pPr>
      <w:r>
        <w:t>4.</w:t>
      </w:r>
      <w:r>
        <w:tab/>
      </w:r>
      <w:r>
        <w:rPr>
          <w:b/>
        </w:rPr>
        <w:t>Editorial hygiene (blocking, but easy).</w:t>
      </w:r>
      <w:r>
        <w:t xml:space="preserve"> Four </w:t>
      </w:r>
      <w:r>
        <w:rPr>
          <w:rFonts w:ascii="Courier New" w:hAnsi="Courier New"/>
          <w:sz w:val="18"/>
          <w:shd w:val="clear" w:color="auto" w:fill="F2F1F0"/>
        </w:rPr>
        <w:t>[VERIFY]</w:t>
      </w:r>
      <w:r>
        <w:t xml:space="preserve"> placeholders remain in the reference list, two cited preprints now have peer-reviewed versions, two models are cited at older versions than the software </w:t>
      </w:r>
      <w:proofErr w:type="gramStart"/>
      <w:r>
        <w:t>actually run</w:t>
      </w:r>
      <w:proofErr w:type="gramEnd"/>
      <w:r>
        <w:t>, and the title says "45" while the analysis is on 44.</w:t>
      </w:r>
    </w:p>
    <w:p w14:paraId="3088B4B6" w14:textId="77777777" w:rsidR="00CA4F2F" w:rsidRDefault="00203421">
      <w:pPr>
        <w:pStyle w:val="ListParagraph"/>
        <w:tabs>
          <w:tab w:val="left" w:pos="720"/>
        </w:tabs>
        <w:ind w:left="720" w:hanging="360"/>
      </w:pPr>
      <w:r>
        <w:t>5.</w:t>
      </w:r>
      <w:r>
        <w:tab/>
      </w:r>
      <w:r>
        <w:rPr>
          <w:b/>
        </w:rPr>
        <w:t>Missing standard front matter (blocking, but easy).</w:t>
      </w:r>
      <w:r>
        <w:t xml:space="preserve"> No structured abstract, keywords, or BMC declaration blocks are visible in this proof.</w:t>
      </w:r>
    </w:p>
    <w:p w14:paraId="078968E9" w14:textId="77777777" w:rsidR="00CA4F2F" w:rsidRDefault="00203421">
      <w:r>
        <w:t xml:space="preserve">The paper's transparency is its greatest asset — the Limitations section is more candid than most published benchmarking work — and the fixes below are about </w:t>
      </w:r>
      <w:r>
        <w:rPr>
          <w:i/>
        </w:rPr>
        <w:t>meeting the bar the author has already set for themselves</w:t>
      </w:r>
      <w:r>
        <w:t>.</w:t>
      </w:r>
    </w:p>
    <w:p w14:paraId="3D8A6E5D" w14:textId="77777777" w:rsidR="00CA4F2F" w:rsidRDefault="00CA4F2F">
      <w:pPr>
        <w:pBdr>
          <w:bottom w:val="single" w:sz="6" w:space="1" w:color="auto"/>
        </w:pBdr>
      </w:pPr>
    </w:p>
    <w:p w14:paraId="02B8B6B6" w14:textId="77777777" w:rsidR="00CA4F2F" w:rsidRDefault="00203421">
      <w:pPr>
        <w:pStyle w:val="Heading2"/>
      </w:pPr>
      <w:r>
        <w:t>PART B — Independent Reviewer Report</w:t>
      </w:r>
    </w:p>
    <w:p w14:paraId="03461E31" w14:textId="77777777" w:rsidR="00CA4F2F" w:rsidRDefault="00203421">
      <w:pPr>
        <w:pStyle w:val="Heading3"/>
      </w:pPr>
      <w:r>
        <w:t>0. NAMING CONFLICT — "</w:t>
      </w:r>
      <w:proofErr w:type="spellStart"/>
      <w:r>
        <w:t>AutoQSAR</w:t>
      </w:r>
      <w:proofErr w:type="spellEnd"/>
      <w:r>
        <w:t>" is an existing Schrödinger product (must rename)</w:t>
      </w:r>
    </w:p>
    <w:p w14:paraId="3400E883" w14:textId="77777777" w:rsidR="00CA4F2F" w:rsidRDefault="00203421">
      <w:r>
        <w:t xml:space="preserve">This is a new and consequential issue. </w:t>
      </w:r>
      <w:r>
        <w:rPr>
          <w:b/>
        </w:rPr>
        <w:t>"</w:t>
      </w:r>
      <w:proofErr w:type="spellStart"/>
      <w:r>
        <w:rPr>
          <w:b/>
        </w:rPr>
        <w:t>AutoQSAR</w:t>
      </w:r>
      <w:proofErr w:type="spellEnd"/>
      <w:r>
        <w:rPr>
          <w:b/>
        </w:rPr>
        <w:t>" is not an available name.</w:t>
      </w:r>
      <w:r>
        <w:t xml:space="preserve"> It has been a Schrödinger commercial product since 2016: Dixon et al. introduced </w:t>
      </w:r>
      <w:proofErr w:type="spellStart"/>
      <w:r>
        <w:t>AutoQSAR</w:t>
      </w:r>
      <w:proofErr w:type="spellEnd"/>
      <w:r>
        <w:t xml:space="preserve">, "an automated machine-learning application to build, validate and deploy quantitative structure–activity relationship (QSAR) models," published in </w:t>
      </w:r>
      <w:r>
        <w:rPr>
          <w:i/>
        </w:rPr>
        <w:t>Future Medicinal Chemistry</w:t>
      </w:r>
      <w:r>
        <w:t xml:space="preserve"> (2016). </w:t>
      </w:r>
      <w:hyperlink r:id="rId7">
        <w:r>
          <w:rPr>
            <w:b/>
            <w:color w:val="1F5132"/>
            <w:position w:val="7"/>
            <w:sz w:val="18"/>
            <w:szCs w:val="18"/>
          </w:rPr>
          <w:t>1</w:t>
        </w:r>
      </w:hyperlink>
      <w:r>
        <w:t xml:space="preserve"> Since its 2016 launch, </w:t>
      </w:r>
      <w:proofErr w:type="spellStart"/>
      <w:r>
        <w:t>AutoQSAR</w:t>
      </w:r>
      <w:proofErr w:type="spellEnd"/>
      <w:r>
        <w:t xml:space="preserve"> has been integrated into the Schrödinger Suite, runs on Windows/Mac/Linux via command line or the Maestro GUI, and is closed source. </w:t>
      </w:r>
      <w:hyperlink r:id="rId8">
        <w:r>
          <w:rPr>
            <w:b/>
            <w:color w:val="1F5132"/>
            <w:position w:val="7"/>
            <w:sz w:val="18"/>
            <w:szCs w:val="18"/>
          </w:rPr>
          <w:t>2</w:t>
        </w:r>
      </w:hyperlink>
      <w:r>
        <w:t xml:space="preserve"> The primary paper is Dixon, S.L.; Duan, J.; Smith, E.; von Bargen, C.D.; Sherman, W.; Repasky, M.P. "</w:t>
      </w:r>
      <w:proofErr w:type="spellStart"/>
      <w:r>
        <w:t>AutoQSAR</w:t>
      </w:r>
      <w:proofErr w:type="spellEnd"/>
      <w:r>
        <w:t xml:space="preserve">: an automated machine learning tool for best-practice quantitative structure-activity relationship modeling." </w:t>
      </w:r>
      <w:r>
        <w:rPr>
          <w:i/>
        </w:rPr>
        <w:t>Future Med Chem</w:t>
      </w:r>
      <w:r>
        <w:t xml:space="preserve"> 2016, 8(15), 1825–1839, </w:t>
      </w:r>
      <w:hyperlink r:id="rId9">
        <w:r>
          <w:rPr>
            <w:b/>
            <w:color w:val="1F5132"/>
            <w:position w:val="7"/>
            <w:sz w:val="18"/>
            <w:szCs w:val="18"/>
          </w:rPr>
          <w:t>3</w:t>
        </w:r>
      </w:hyperlink>
      <w:r>
        <w:t xml:space="preserve"> and the name is used as a formal product designation in Schrödinger's software releases. Schrödinger's release notes cite "Schrödinger Release 2016-3: </w:t>
      </w:r>
      <w:proofErr w:type="spellStart"/>
      <w:r>
        <w:t>AutoQSAR</w:t>
      </w:r>
      <w:proofErr w:type="spellEnd"/>
      <w:r>
        <w:t xml:space="preserve">." </w:t>
      </w:r>
      <w:hyperlink r:id="rId10">
        <w:r>
          <w:rPr>
            <w:b/>
            <w:color w:val="1F5132"/>
            <w:position w:val="7"/>
            <w:sz w:val="18"/>
            <w:szCs w:val="18"/>
          </w:rPr>
          <w:t>4</w:t>
        </w:r>
      </w:hyperlink>
    </w:p>
    <w:p w14:paraId="21E4C899" w14:textId="77777777" w:rsidR="00CA4F2F" w:rsidRDefault="00203421">
      <w:r>
        <w:t xml:space="preserve">The collision is not merely nominal — it is in the </w:t>
      </w:r>
      <w:r>
        <w:rPr>
          <w:b/>
        </w:rPr>
        <w:t>identical application area</w:t>
      </w:r>
      <w:r>
        <w:t>: Schrödinger has published a benchmark study of its automated ML model-building engine (</w:t>
      </w:r>
      <w:proofErr w:type="spellStart"/>
      <w:r>
        <w:t>DeepAutoQSAR</w:t>
      </w:r>
      <w:proofErr w:type="spellEnd"/>
      <w:r>
        <w:t xml:space="preserve">) on the ADMET subset of the Therapeutics Data Commons, comparing against </w:t>
      </w:r>
      <w:proofErr w:type="spellStart"/>
      <w:r>
        <w:t>ChemProp</w:t>
      </w:r>
      <w:proofErr w:type="spellEnd"/>
      <w:r>
        <w:t xml:space="preserve"> and </w:t>
      </w:r>
      <w:proofErr w:type="spellStart"/>
      <w:r>
        <w:t>DeepPurpose</w:t>
      </w:r>
      <w:proofErr w:type="spellEnd"/>
      <w:r>
        <w:t xml:space="preserve"> </w:t>
      </w:r>
      <w:hyperlink r:id="rId11">
        <w:r>
          <w:rPr>
            <w:b/>
            <w:color w:val="1F5132"/>
            <w:position w:val="7"/>
            <w:sz w:val="18"/>
            <w:szCs w:val="18"/>
          </w:rPr>
          <w:t>5</w:t>
        </w:r>
      </w:hyperlink>
      <w:r>
        <w:t xml:space="preserve"> — the same TDC-ADMET benchmarking that this manuscript performs. Publishing an open-source package also named "</w:t>
      </w:r>
      <w:proofErr w:type="spellStart"/>
      <w:r>
        <w:t>AutoQSAR</w:t>
      </w:r>
      <w:proofErr w:type="spellEnd"/>
      <w:r>
        <w:t xml:space="preserve">," benchmarked on the same data, invites (a) trademark confusion, (b) reader confusion in the literature, and (c) a likely </w:t>
      </w:r>
      <w:proofErr w:type="spellStart"/>
      <w:r>
        <w:t>PyPI</w:t>
      </w:r>
      <w:proofErr w:type="spellEnd"/>
      <w:r>
        <w:t>/GitHub naming dispute.</w:t>
      </w:r>
    </w:p>
    <w:p w14:paraId="60F04DB4" w14:textId="77777777" w:rsidR="00CA4F2F" w:rsidRDefault="00203421">
      <w:r>
        <w:rPr>
          <w:b/>
        </w:rPr>
        <w:t>Practical guidance:</w:t>
      </w:r>
    </w:p>
    <w:p w14:paraId="7DE1CE19" w14:textId="77777777" w:rsidR="00CA4F2F" w:rsidRDefault="00203421">
      <w:pPr>
        <w:pStyle w:val="ListParagraph"/>
        <w:tabs>
          <w:tab w:val="left" w:pos="720"/>
        </w:tabs>
        <w:ind w:left="720" w:hanging="360"/>
      </w:pPr>
      <w:r>
        <w:t>•</w:t>
      </w:r>
      <w:r>
        <w:tab/>
      </w:r>
      <w:r>
        <w:rPr>
          <w:b/>
        </w:rPr>
        <w:t>Trademark first, namespace second.</w:t>
      </w:r>
      <w:r>
        <w:t xml:space="preserve"> The confusion/trademark exposure exists independent of whether the literal </w:t>
      </w:r>
      <w:proofErr w:type="spellStart"/>
      <w:r>
        <w:rPr>
          <w:rFonts w:ascii="Courier New" w:hAnsi="Courier New"/>
          <w:sz w:val="18"/>
          <w:shd w:val="clear" w:color="auto" w:fill="F2F1F0"/>
        </w:rPr>
        <w:t>autoqsar</w:t>
      </w:r>
      <w:proofErr w:type="spellEnd"/>
      <w:r>
        <w:t xml:space="preserve"> string is free on </w:t>
      </w:r>
      <w:proofErr w:type="spellStart"/>
      <w:r>
        <w:t>PyPI</w:t>
      </w:r>
      <w:proofErr w:type="spellEnd"/>
      <w:r>
        <w:t xml:space="preserve">. I was unable to confirm the </w:t>
      </w:r>
      <w:proofErr w:type="spellStart"/>
      <w:r>
        <w:t>PyPI</w:t>
      </w:r>
      <w:proofErr w:type="spellEnd"/>
      <w:r>
        <w:t xml:space="preserve"> namespace directly (</w:t>
      </w:r>
      <w:proofErr w:type="spellStart"/>
      <w:r>
        <w:t>PyPI's</w:t>
      </w:r>
      <w:proofErr w:type="spellEnd"/>
      <w:r>
        <w:t xml:space="preserve"> project page is behind bot protection and did not load during review); the author should verify availability on </w:t>
      </w:r>
      <w:proofErr w:type="spellStart"/>
      <w:r>
        <w:rPr>
          <w:b/>
        </w:rPr>
        <w:t>PyPI</w:t>
      </w:r>
      <w:proofErr w:type="spellEnd"/>
      <w:r>
        <w:rPr>
          <w:b/>
        </w:rPr>
        <w:t xml:space="preserve">, </w:t>
      </w:r>
      <w:proofErr w:type="spellStart"/>
      <w:r>
        <w:rPr>
          <w:b/>
        </w:rPr>
        <w:t>conda</w:t>
      </w:r>
      <w:proofErr w:type="spellEnd"/>
      <w:r>
        <w:rPr>
          <w:b/>
        </w:rPr>
        <w:t>-forge, GitHub, and a USPTO/EUIPO trademark search</w:t>
      </w:r>
      <w:r>
        <w:t xml:space="preserve">, but should treat a free string as </w:t>
      </w:r>
      <w:r>
        <w:rPr>
          <w:i/>
        </w:rPr>
        <w:t>necessary but not sufficient</w:t>
      </w:r>
      <w:r>
        <w:t xml:space="preserve"> given the Schrödinger mark.</w:t>
      </w:r>
    </w:p>
    <w:p w14:paraId="5AACA1DF" w14:textId="77777777" w:rsidR="00CA4F2F" w:rsidRDefault="00203421">
      <w:pPr>
        <w:pStyle w:val="ListParagraph"/>
        <w:tabs>
          <w:tab w:val="left" w:pos="720"/>
        </w:tabs>
        <w:ind w:left="720" w:hanging="360"/>
      </w:pPr>
      <w:r>
        <w:t>•</w:t>
      </w:r>
      <w:r>
        <w:tab/>
      </w:r>
      <w:r>
        <w:rPr>
          <w:b/>
        </w:rPr>
        <w:t>Rename comprehensively.</w:t>
      </w:r>
      <w:r>
        <w:t xml:space="preserve"> The change must propagate to the manuscript title/body, the "Project name," the repository (currently </w:t>
      </w:r>
      <w:r>
        <w:rPr>
          <w:rFonts w:ascii="Courier New" w:hAnsi="Courier New"/>
          <w:sz w:val="18"/>
          <w:shd w:val="clear" w:color="auto" w:fill="F2F1F0"/>
        </w:rPr>
        <w:t>github.com/</w:t>
      </w:r>
      <w:proofErr w:type="spellStart"/>
      <w:r>
        <w:rPr>
          <w:rFonts w:ascii="Courier New" w:hAnsi="Courier New"/>
          <w:sz w:val="18"/>
          <w:shd w:val="clear" w:color="auto" w:fill="F2F1F0"/>
        </w:rPr>
        <w:t>ScottCoffin</w:t>
      </w:r>
      <w:proofErr w:type="spellEnd"/>
      <w:r>
        <w:rPr>
          <w:rFonts w:ascii="Courier New" w:hAnsi="Courier New"/>
          <w:sz w:val="18"/>
          <w:shd w:val="clear" w:color="auto" w:fill="F2F1F0"/>
        </w:rPr>
        <w:t>/</w:t>
      </w:r>
      <w:proofErr w:type="spellStart"/>
      <w:r>
        <w:rPr>
          <w:rFonts w:ascii="Courier New" w:hAnsi="Courier New"/>
          <w:sz w:val="18"/>
          <w:shd w:val="clear" w:color="auto" w:fill="F2F1F0"/>
        </w:rPr>
        <w:t>AutoQSAR</w:t>
      </w:r>
      <w:proofErr w:type="spellEnd"/>
      <w:r>
        <w:t xml:space="preserve">), the </w:t>
      </w:r>
      <w:proofErr w:type="spellStart"/>
      <w:r>
        <w:t>PyPI</w:t>
      </w:r>
      <w:proofErr w:type="spellEnd"/>
      <w:r>
        <w:t xml:space="preserve"> package, and the import namespace.</w:t>
      </w:r>
    </w:p>
    <w:p w14:paraId="2BCACD8B" w14:textId="77777777" w:rsidR="00CA4F2F" w:rsidRDefault="00203421">
      <w:pPr>
        <w:pStyle w:val="ListParagraph"/>
        <w:tabs>
          <w:tab w:val="left" w:pos="720"/>
        </w:tabs>
        <w:ind w:left="720" w:hanging="360"/>
      </w:pPr>
      <w:r>
        <w:t>•</w:t>
      </w:r>
      <w:r>
        <w:tab/>
      </w:r>
      <w:r>
        <w:rPr>
          <w:b/>
        </w:rPr>
        <w:t>Add a one-line disambiguation</w:t>
      </w:r>
      <w:r>
        <w:t xml:space="preserve"> in the introduction citing the Schrödinger tool, so reviewers and readers see the distinction is deliberate.</w:t>
      </w:r>
    </w:p>
    <w:p w14:paraId="1E3C05B2" w14:textId="77777777" w:rsidR="00CA4F2F" w:rsidRDefault="00203421">
      <w:r>
        <w:rPr>
          <w:b/>
        </w:rPr>
        <w:t>Suggested replacement names</w:t>
      </w:r>
      <w:r>
        <w:t xml:space="preserve"> (each must still be checked for </w:t>
      </w:r>
      <w:proofErr w:type="spellStart"/>
      <w:r>
        <w:t>PyPI</w:t>
      </w:r>
      <w:proofErr w:type="spellEnd"/>
      <w:r>
        <w:t>/GitHub/trademark availability — treat as candidates, not clearances):</w:t>
      </w:r>
    </w:p>
    <w:p w14:paraId="7FB339FA" w14:textId="77777777" w:rsidR="00CA4F2F" w:rsidRDefault="00203421">
      <w:r>
        <w:rPr>
          <w:i/>
        </w:rPr>
        <w:t>Top three (distinctive, descriptive of the actual differentiator, low apparent collision risk):</w:t>
      </w:r>
    </w:p>
    <w:p w14:paraId="19C4347E" w14:textId="77777777" w:rsidR="00CA4F2F" w:rsidRDefault="00203421">
      <w:pPr>
        <w:pStyle w:val="ListParagraph"/>
        <w:tabs>
          <w:tab w:val="left" w:pos="720"/>
        </w:tabs>
        <w:ind w:left="720" w:hanging="360"/>
      </w:pPr>
      <w:r>
        <w:t>1.</w:t>
      </w:r>
      <w:r>
        <w:tab/>
      </w:r>
      <w:proofErr w:type="spellStart"/>
      <w:r>
        <w:rPr>
          <w:b/>
        </w:rPr>
        <w:t>QSARena</w:t>
      </w:r>
      <w:proofErr w:type="spellEnd"/>
      <w:r>
        <w:t xml:space="preserve"> (</w:t>
      </w:r>
      <w:proofErr w:type="spellStart"/>
      <w:proofErr w:type="gramStart"/>
      <w:r>
        <w:rPr>
          <w:rFonts w:ascii="Courier New" w:hAnsi="Courier New"/>
          <w:sz w:val="18"/>
          <w:shd w:val="clear" w:color="auto" w:fill="F2F1F0"/>
        </w:rPr>
        <w:t>qsarena</w:t>
      </w:r>
      <w:proofErr w:type="spellEnd"/>
      <w:r>
        <w:t>) — "</w:t>
      </w:r>
      <w:proofErr w:type="gramEnd"/>
      <w:r>
        <w:t>QSAR" + "arena"; captures the head-to-head, many-architectures-compete framing that is the paper's core.</w:t>
      </w:r>
    </w:p>
    <w:p w14:paraId="171E853E" w14:textId="77777777" w:rsidR="00CA4F2F" w:rsidRDefault="00203421">
      <w:pPr>
        <w:pStyle w:val="ListParagraph"/>
        <w:tabs>
          <w:tab w:val="left" w:pos="720"/>
        </w:tabs>
        <w:ind w:left="720" w:hanging="360"/>
      </w:pPr>
      <w:r>
        <w:t>2.</w:t>
      </w:r>
      <w:r>
        <w:tab/>
      </w:r>
      <w:proofErr w:type="spellStart"/>
      <w:r>
        <w:rPr>
          <w:b/>
        </w:rPr>
        <w:t>BenchMol</w:t>
      </w:r>
      <w:proofErr w:type="spellEnd"/>
      <w:r>
        <w:t xml:space="preserve"> or </w:t>
      </w:r>
      <w:proofErr w:type="spellStart"/>
      <w:r>
        <w:rPr>
          <w:b/>
        </w:rPr>
        <w:t>BenchQSAR</w:t>
      </w:r>
      <w:proofErr w:type="spellEnd"/>
      <w:r>
        <w:t xml:space="preserve"> (</w:t>
      </w:r>
      <w:proofErr w:type="spellStart"/>
      <w:r>
        <w:rPr>
          <w:rFonts w:ascii="Courier New" w:hAnsi="Courier New"/>
          <w:sz w:val="18"/>
          <w:shd w:val="clear" w:color="auto" w:fill="F2F1F0"/>
        </w:rPr>
        <w:t>benchqsar</w:t>
      </w:r>
      <w:proofErr w:type="spellEnd"/>
      <w:r>
        <w:t xml:space="preserve">) — foregrounds the </w:t>
      </w:r>
      <w:r>
        <w:rPr>
          <w:i/>
        </w:rPr>
        <w:t>benchmarking-workspace</w:t>
      </w:r>
      <w:r>
        <w:t xml:space="preserve"> identity, which is what distinguishes it from a single-model builder like Schrödinger's tool.</w:t>
      </w:r>
    </w:p>
    <w:p w14:paraId="08EA493C" w14:textId="77777777" w:rsidR="00CA4F2F" w:rsidRDefault="00203421">
      <w:pPr>
        <w:pStyle w:val="ListParagraph"/>
        <w:tabs>
          <w:tab w:val="left" w:pos="720"/>
        </w:tabs>
        <w:ind w:left="720" w:hanging="360"/>
      </w:pPr>
      <w:r>
        <w:lastRenderedPageBreak/>
        <w:t>3.</w:t>
      </w:r>
      <w:r>
        <w:tab/>
      </w:r>
      <w:proofErr w:type="spellStart"/>
      <w:r>
        <w:rPr>
          <w:b/>
        </w:rPr>
        <w:t>Chemsemble</w:t>
      </w:r>
      <w:proofErr w:type="spellEnd"/>
      <w:r>
        <w:t xml:space="preserve"> (</w:t>
      </w:r>
      <w:proofErr w:type="spellStart"/>
      <w:proofErr w:type="gramStart"/>
      <w:r>
        <w:rPr>
          <w:rFonts w:ascii="Courier New" w:hAnsi="Courier New"/>
          <w:sz w:val="18"/>
          <w:shd w:val="clear" w:color="auto" w:fill="F2F1F0"/>
        </w:rPr>
        <w:t>chemsemble</w:t>
      </w:r>
      <w:proofErr w:type="spellEnd"/>
      <w:r>
        <w:t>) —</w:t>
      </w:r>
      <w:proofErr w:type="gramEnd"/>
      <w:r>
        <w:t xml:space="preserve"> "chem" + "ensemble"; highlights the fusion/stacking differentiator that produced the most wins.</w:t>
      </w:r>
    </w:p>
    <w:p w14:paraId="1F082EA2" w14:textId="77777777" w:rsidR="00CA4F2F" w:rsidRDefault="00203421">
      <w:r>
        <w:rPr>
          <w:i/>
        </w:rPr>
        <w:t>Further candidates by theme:</w:t>
      </w:r>
    </w:p>
    <w:p w14:paraId="17F1BA4C" w14:textId="77777777" w:rsidR="00CA4F2F" w:rsidRDefault="00203421">
      <w:pPr>
        <w:pStyle w:val="ListParagraph"/>
        <w:tabs>
          <w:tab w:val="left" w:pos="720"/>
        </w:tabs>
        <w:ind w:left="720" w:hanging="360"/>
      </w:pPr>
      <w:r>
        <w:t>•</w:t>
      </w:r>
      <w:r>
        <w:tab/>
      </w:r>
      <w:r>
        <w:rPr>
          <w:i/>
        </w:rPr>
        <w:t>Openness / contrast to closed tools:</w:t>
      </w:r>
      <w:r>
        <w:t xml:space="preserve"> </w:t>
      </w:r>
      <w:proofErr w:type="spellStart"/>
      <w:r>
        <w:rPr>
          <w:b/>
        </w:rPr>
        <w:t>OpenQSAR</w:t>
      </w:r>
      <w:proofErr w:type="spellEnd"/>
      <w:r>
        <w:t xml:space="preserve">, </w:t>
      </w:r>
      <w:proofErr w:type="spellStart"/>
      <w:r>
        <w:rPr>
          <w:b/>
        </w:rPr>
        <w:t>FreeQSAR</w:t>
      </w:r>
      <w:proofErr w:type="spellEnd"/>
      <w:r>
        <w:t xml:space="preserve"> (note "open"/"free" prefixes are generic and collision-prone).</w:t>
      </w:r>
    </w:p>
    <w:p w14:paraId="2F84A6FD" w14:textId="77777777" w:rsidR="00CA4F2F" w:rsidRDefault="00203421">
      <w:pPr>
        <w:pStyle w:val="ListParagraph"/>
        <w:tabs>
          <w:tab w:val="left" w:pos="720"/>
        </w:tabs>
        <w:ind w:left="720" w:hanging="360"/>
      </w:pPr>
      <w:r>
        <w:t>•</w:t>
      </w:r>
      <w:r>
        <w:tab/>
      </w:r>
      <w:r>
        <w:rPr>
          <w:i/>
        </w:rPr>
        <w:t>Breadth across architectures &amp; suites:</w:t>
      </w:r>
      <w:r>
        <w:t xml:space="preserve"> </w:t>
      </w:r>
      <w:proofErr w:type="spellStart"/>
      <w:r>
        <w:rPr>
          <w:b/>
        </w:rPr>
        <w:t>PanQSAR</w:t>
      </w:r>
      <w:proofErr w:type="spellEnd"/>
      <w:r>
        <w:t xml:space="preserve">, </w:t>
      </w:r>
      <w:proofErr w:type="spellStart"/>
      <w:r>
        <w:rPr>
          <w:b/>
        </w:rPr>
        <w:t>PolyQSAR</w:t>
      </w:r>
      <w:proofErr w:type="spellEnd"/>
      <w:r>
        <w:t xml:space="preserve">, </w:t>
      </w:r>
      <w:proofErr w:type="spellStart"/>
      <w:r>
        <w:rPr>
          <w:b/>
        </w:rPr>
        <w:t>ModelMatch</w:t>
      </w:r>
      <w:proofErr w:type="spellEnd"/>
      <w:r>
        <w:t xml:space="preserve"> (evokes the "match pretrained models" finding).</w:t>
      </w:r>
    </w:p>
    <w:p w14:paraId="0F07064A" w14:textId="77777777" w:rsidR="00CA4F2F" w:rsidRDefault="00203421">
      <w:pPr>
        <w:pStyle w:val="ListParagraph"/>
        <w:tabs>
          <w:tab w:val="left" w:pos="720"/>
        </w:tabs>
        <w:ind w:left="720" w:hanging="360"/>
      </w:pPr>
      <w:r>
        <w:t>•</w:t>
      </w:r>
      <w:r>
        <w:tab/>
      </w:r>
      <w:r>
        <w:rPr>
          <w:i/>
        </w:rPr>
        <w:t>Code-free identity:</w:t>
      </w:r>
      <w:r>
        <w:t xml:space="preserve"> </w:t>
      </w:r>
      <w:proofErr w:type="spellStart"/>
      <w:r>
        <w:rPr>
          <w:b/>
        </w:rPr>
        <w:t>QSARWorkbench</w:t>
      </w:r>
      <w:proofErr w:type="spellEnd"/>
      <w:r>
        <w:t xml:space="preserve">, </w:t>
      </w:r>
      <w:proofErr w:type="spellStart"/>
      <w:r>
        <w:rPr>
          <w:b/>
        </w:rPr>
        <w:t>NoCodeQSAR</w:t>
      </w:r>
      <w:proofErr w:type="spellEnd"/>
      <w:r>
        <w:t xml:space="preserve">, </w:t>
      </w:r>
      <w:proofErr w:type="spellStart"/>
      <w:r>
        <w:rPr>
          <w:b/>
        </w:rPr>
        <w:t>MolBenchpad</w:t>
      </w:r>
      <w:proofErr w:type="spellEnd"/>
      <w:r>
        <w:t>.</w:t>
      </w:r>
    </w:p>
    <w:p w14:paraId="1B88F836" w14:textId="77777777" w:rsidR="00CA4F2F" w:rsidRDefault="00203421">
      <w:pPr>
        <w:pStyle w:val="ListParagraph"/>
        <w:tabs>
          <w:tab w:val="left" w:pos="720"/>
        </w:tabs>
        <w:ind w:left="720" w:hanging="360"/>
      </w:pPr>
      <w:r>
        <w:t>•</w:t>
      </w:r>
      <w:r>
        <w:tab/>
      </w:r>
      <w:r>
        <w:rPr>
          <w:i/>
        </w:rPr>
        <w:t>Fusion identity:</w:t>
      </w:r>
      <w:r>
        <w:t xml:space="preserve"> </w:t>
      </w:r>
      <w:proofErr w:type="spellStart"/>
      <w:r>
        <w:rPr>
          <w:b/>
        </w:rPr>
        <w:t>FuseMol</w:t>
      </w:r>
      <w:proofErr w:type="spellEnd"/>
      <w:r>
        <w:t xml:space="preserve">, </w:t>
      </w:r>
      <w:proofErr w:type="spellStart"/>
      <w:r>
        <w:rPr>
          <w:b/>
        </w:rPr>
        <w:t>FusionQSAR</w:t>
      </w:r>
      <w:proofErr w:type="spellEnd"/>
      <w:r>
        <w:t>.</w:t>
      </w:r>
    </w:p>
    <w:p w14:paraId="70A6F35A" w14:textId="77777777" w:rsidR="00CA4F2F" w:rsidRDefault="00203421">
      <w:r>
        <w:t xml:space="preserve">I recommend a distinctive coined name (e.g., </w:t>
      </w:r>
      <w:proofErr w:type="spellStart"/>
      <w:r>
        <w:rPr>
          <w:i/>
        </w:rPr>
        <w:t>QSARena</w:t>
      </w:r>
      <w:proofErr w:type="spellEnd"/>
      <w:r>
        <w:t xml:space="preserve">, </w:t>
      </w:r>
      <w:proofErr w:type="spellStart"/>
      <w:r>
        <w:rPr>
          <w:i/>
        </w:rPr>
        <w:t>Chemsemble</w:t>
      </w:r>
      <w:proofErr w:type="spellEnd"/>
      <w:r>
        <w:t>) over a descriptive-generic one (</w:t>
      </w:r>
      <w:proofErr w:type="spellStart"/>
      <w:r>
        <w:rPr>
          <w:i/>
        </w:rPr>
        <w:t>OpenQSAR</w:t>
      </w:r>
      <w:proofErr w:type="spellEnd"/>
      <w:r>
        <w:t>), because coined marks are both more defensible and less likely to already be taken. Avoid anything containing "Auto…QSAR" or "…</w:t>
      </w:r>
      <w:proofErr w:type="spellStart"/>
      <w:r>
        <w:t>AutoQSAR</w:t>
      </w:r>
      <w:proofErr w:type="spellEnd"/>
      <w:r>
        <w:t>," which would remain confusable with the Schrödinger family (</w:t>
      </w:r>
      <w:proofErr w:type="spellStart"/>
      <w:r>
        <w:t>AutoQSAR</w:t>
      </w:r>
      <w:proofErr w:type="spellEnd"/>
      <w:r>
        <w:t xml:space="preserve"> / </w:t>
      </w:r>
      <w:proofErr w:type="spellStart"/>
      <w:r>
        <w:t>DeepAutoQSAR</w:t>
      </w:r>
      <w:proofErr w:type="spellEnd"/>
      <w:r>
        <w:t>).</w:t>
      </w:r>
    </w:p>
    <w:p w14:paraId="4FD2A554" w14:textId="77777777" w:rsidR="00CA4F2F" w:rsidRDefault="00203421">
      <w:pPr>
        <w:pStyle w:val="Heading3"/>
      </w:pPr>
      <w:r>
        <w:t>1. Summary of the work</w:t>
      </w:r>
    </w:p>
    <w:p w14:paraId="5F1D5511" w14:textId="45A267AD" w:rsidR="00CA4F2F" w:rsidRDefault="00203421">
      <w:r>
        <w:t xml:space="preserve">The manuscript introduces the tool (herein "the package"), an open-source (MIT), code-free-plus-CLI QSAR benchmarking workspace, and reports a uniform evaluation of 28 models spanning seven architecture families across 44 </w:t>
      </w:r>
      <w:proofErr w:type="spellStart"/>
      <w:r>
        <w:t>analysed</w:t>
      </w:r>
      <w:proofErr w:type="spellEnd"/>
      <w:r>
        <w:t xml:space="preserve"> datasets from five suites. The 44 </w:t>
      </w:r>
      <w:proofErr w:type="spellStart"/>
      <w:r>
        <w:t>analysed</w:t>
      </w:r>
      <w:proofErr w:type="spellEnd"/>
      <w:r>
        <w:t xml:space="preserve"> datasets comprise 22 regression and 22 classification tasks drawn from five collections — TDC (32), Polaris ADME (5), </w:t>
      </w:r>
      <w:proofErr w:type="spellStart"/>
      <w:r>
        <w:t>MoleculeNet</w:t>
      </w:r>
      <w:proofErr w:type="spellEnd"/>
      <w:r>
        <w:t xml:space="preserve"> (3), </w:t>
      </w:r>
      <w:proofErr w:type="spellStart"/>
      <w:r>
        <w:t>ChemML</w:t>
      </w:r>
      <w:proofErr w:type="spellEnd"/>
      <w:r>
        <w:t xml:space="preserve"> (2) and PODUAM (2) — spanning 280 to 13,445 molecules, with 28 models producing at least one valid result and 837 valid model–dataset evaluations. </w:t>
      </w:r>
      <w:hyperlink r:id="rId12" w:anchor="pages=9-10">
        <w:r>
          <w:rPr>
            <w:b/>
            <w:color w:val="1F5132"/>
            <w:position w:val="7"/>
            <w:sz w:val="18"/>
            <w:szCs w:val="18"/>
          </w:rPr>
          <w:t>6</w:t>
        </w:r>
      </w:hyperlink>
      <w:r>
        <w:t xml:space="preserve"> The central empirical claim is that no architecture family </w:t>
      </w:r>
      <w:proofErr w:type="gramStart"/>
      <w:r>
        <w:t>dominates:</w:t>
      </w:r>
      <w:proofErr w:type="gramEnd"/>
      <w:r>
        <w:t xml:space="preserve"> stacking/averaging ensembles produced the most outright wins (16 of 44), followed by 3D-pretrained Uni-Mol (11), conventional ML (8), </w:t>
      </w:r>
      <w:proofErr w:type="spellStart"/>
      <w:r>
        <w:t>MapLight+GNN</w:t>
      </w:r>
      <w:proofErr w:type="spellEnd"/>
      <w:r>
        <w:t xml:space="preserve"> (4), deep tabular and </w:t>
      </w:r>
      <w:proofErr w:type="spellStart"/>
      <w:r>
        <w:t>Chemprop</w:t>
      </w:r>
      <w:proofErr w:type="spellEnd"/>
      <w:r>
        <w:t xml:space="preserve"> v2 (2 each) and combinatorial fusion (1), with the largest single share being 36% of datasets. </w:t>
      </w:r>
      <w:hyperlink r:id="rId13" w:anchor="pages=9-10">
        <w:r>
          <w:rPr>
            <w:b/>
            <w:color w:val="1F5132"/>
            <w:position w:val="7"/>
            <w:sz w:val="18"/>
            <w:szCs w:val="18"/>
          </w:rPr>
          <w:t>6</w:t>
        </w:r>
      </w:hyperlink>
    </w:p>
    <w:p w14:paraId="035546F2" w14:textId="103DA83B" w:rsidR="00CA4F2F" w:rsidRDefault="00203421">
      <w:r>
        <w:t xml:space="preserve">The most scientifically valuable element is the </w:t>
      </w:r>
      <w:r>
        <w:rPr>
          <w:b/>
        </w:rPr>
        <w:t>test-selected vs. cross-validation-selected contrast</w:t>
      </w:r>
      <w:r>
        <w:t xml:space="preserve">: under the stricter protocol in which the model is chosen by cross-validation alone, </w:t>
      </w:r>
      <w:proofErr w:type="gramStart"/>
      <w:r>
        <w:t>top-ten</w:t>
      </w:r>
      <w:proofErr w:type="gramEnd"/>
      <w:r>
        <w:t xml:space="preserve"> placement falls from 35 to 25 of 37 datasets, first places from five to none, and median estimated rank from 3 to 8; on the official TDC subset the fall is from 22 of 22 to 15 of 22. </w:t>
      </w:r>
      <w:hyperlink r:id="rId14" w:anchor="pages=9-10">
        <w:r>
          <w:rPr>
            <w:b/>
            <w:color w:val="1F5132"/>
            <w:position w:val="7"/>
            <w:sz w:val="18"/>
            <w:szCs w:val="18"/>
          </w:rPr>
          <w:t>6</w:t>
        </w:r>
      </w:hyperlink>
    </w:p>
    <w:p w14:paraId="798F5640" w14:textId="77777777" w:rsidR="00CA4F2F" w:rsidRDefault="00203421">
      <w:pPr>
        <w:pStyle w:val="Heading3"/>
      </w:pPr>
      <w:r>
        <w:t xml:space="preserve">2. Significance and novelty — adequately framed, but the novelty </w:t>
      </w:r>
      <w:proofErr w:type="gramStart"/>
      <w:r>
        <w:t>claim</w:t>
      </w:r>
      <w:proofErr w:type="gramEnd"/>
      <w:r>
        <w:t xml:space="preserve"> needs tightening</w:t>
      </w:r>
    </w:p>
    <w:p w14:paraId="0AECD921" w14:textId="7479D606" w:rsidR="00CA4F2F" w:rsidRDefault="00203421">
      <w:r>
        <w:t xml:space="preserve">The gap statement is </w:t>
      </w:r>
      <w:proofErr w:type="gramStart"/>
      <w:r>
        <w:t>reasonable</w:t>
      </w:r>
      <w:proofErr w:type="gramEnd"/>
      <w:r>
        <w:t xml:space="preserve"> and the comparators are correctly identified: the manuscript argues that existing tools typically evaluate on a single benchmark suite, expose a limited subset of model families, and rarely combine a code-free interface with a rigorous, leakage-controlled batch-evaluation engine. </w:t>
      </w:r>
      <w:hyperlink r:id="rId15" w:anchor="pages=9-10">
        <w:r>
          <w:rPr>
            <w:b/>
            <w:color w:val="1F5132"/>
            <w:position w:val="7"/>
            <w:sz w:val="18"/>
            <w:szCs w:val="18"/>
          </w:rPr>
          <w:t>6</w:t>
        </w:r>
      </w:hyperlink>
      <w:r>
        <w:t xml:space="preserve"> The breadth claim is appropriately hedged: "a breadth of cross-suite coverage that, to our knowledge, exceeds prior single-tool studies." </w:t>
      </w:r>
      <w:hyperlink r:id="rId16" w:anchor="pages=9-10">
        <w:r>
          <w:rPr>
            <w:b/>
            <w:color w:val="1F5132"/>
            <w:position w:val="7"/>
            <w:sz w:val="18"/>
            <w:szCs w:val="18"/>
          </w:rPr>
          <w:t>6</w:t>
        </w:r>
      </w:hyperlink>
    </w:p>
    <w:p w14:paraId="3B52858E" w14:textId="77777777" w:rsidR="00CA4F2F" w:rsidRDefault="00203421">
      <w:r>
        <w:t xml:space="preserve">The claim is defensible on the </w:t>
      </w:r>
      <w:r>
        <w:rPr>
          <w:i/>
        </w:rPr>
        <w:t>cross-suite</w:t>
      </w:r>
      <w:r>
        <w:t xml:space="preserve"> axis but should concede that the closest comparators are strong on the </w:t>
      </w:r>
      <w:r>
        <w:rPr>
          <w:i/>
        </w:rPr>
        <w:t>dataset-count</w:t>
      </w:r>
      <w:r>
        <w:t xml:space="preserve"> axis: ADMET-AI uses 41 ADMET datasets from the Therapeutics Data Commons and has the highest average rank on the TDC ADMET Leaderboard, </w:t>
      </w:r>
      <w:hyperlink r:id="rId17">
        <w:r>
          <w:rPr>
            <w:b/>
            <w:color w:val="1F5132"/>
            <w:position w:val="7"/>
            <w:sz w:val="18"/>
            <w:szCs w:val="18"/>
          </w:rPr>
          <w:t>7</w:t>
        </w:r>
      </w:hyperlink>
      <w:r>
        <w:t xml:space="preserve"> and </w:t>
      </w:r>
      <w:proofErr w:type="spellStart"/>
      <w:r>
        <w:t>DeepMol</w:t>
      </w:r>
      <w:proofErr w:type="spellEnd"/>
      <w:r>
        <w:t xml:space="preserve"> obtained competitive pipelines across 22 benchmark datasets. </w:t>
      </w:r>
      <w:hyperlink r:id="rId18">
        <w:r>
          <w:rPr>
            <w:b/>
            <w:color w:val="1F5132"/>
            <w:position w:val="7"/>
            <w:sz w:val="18"/>
            <w:szCs w:val="18"/>
          </w:rPr>
          <w:t>8</w:t>
        </w:r>
      </w:hyperlink>
      <w:r>
        <w:t xml:space="preserve"> Reword the novelty claim to </w:t>
      </w:r>
      <w:r>
        <w:lastRenderedPageBreak/>
        <w:t xml:space="preserve">emphasize </w:t>
      </w:r>
      <w:r>
        <w:rPr>
          <w:b/>
        </w:rPr>
        <w:t>cross-suite + architecture-family breadth + code-free interface</w:t>
      </w:r>
      <w:r>
        <w:t>, not raw dataset count.</w:t>
      </w:r>
    </w:p>
    <w:p w14:paraId="67DA65C3" w14:textId="77777777" w:rsidR="00CA4F2F" w:rsidRDefault="00203421">
      <w:pPr>
        <w:pStyle w:val="Heading3"/>
      </w:pPr>
      <w:r>
        <w:t>3. Major concerns</w:t>
      </w:r>
    </w:p>
    <w:p w14:paraId="407EC720" w14:textId="02763887" w:rsidR="00CA4F2F" w:rsidRDefault="00203421">
      <w:r>
        <w:rPr>
          <w:b/>
        </w:rPr>
        <w:t>MC-1 — Single split / single seed undermines every model-to-model comparison (must address).</w:t>
      </w:r>
      <w:r>
        <w:t xml:space="preserve">The author is admirably explicit — the fusion margins are "the smallest quantities we report — median relative changes below 3% on a single split and seed — and correspondingly the most fragile," </w:t>
      </w:r>
      <w:hyperlink r:id="rId19" w:anchor="pages=9-10">
        <w:r>
          <w:rPr>
            <w:b/>
            <w:color w:val="1F5132"/>
            <w:position w:val="7"/>
            <w:sz w:val="18"/>
            <w:szCs w:val="18"/>
          </w:rPr>
          <w:t>6</w:t>
        </w:r>
      </w:hyperlink>
      <w:r>
        <w:t xml:space="preserve"> and defends only the coarse claims: leaderboard placement, the breadth of the winner distribution, the one-sided model-selection effect, and order-of-magnitude cost differences, none of which rest on close margins. </w:t>
      </w:r>
      <w:hyperlink r:id="rId20" w:anchor="pages=9-10">
        <w:r>
          <w:rPr>
            <w:b/>
            <w:color w:val="1F5132"/>
            <w:position w:val="7"/>
            <w:sz w:val="18"/>
            <w:szCs w:val="18"/>
          </w:rPr>
          <w:t>6</w:t>
        </w:r>
      </w:hyperlink>
      <w:r>
        <w:t xml:space="preserve"> But zero variance estimates </w:t>
      </w:r>
      <w:proofErr w:type="gramStart"/>
      <w:r>
        <w:t>is</w:t>
      </w:r>
      <w:proofErr w:type="gramEnd"/>
      <w:r>
        <w:t xml:space="preserve"> a hard sell for </w:t>
      </w:r>
      <w:r>
        <w:rPr>
          <w:i/>
        </w:rPr>
        <w:t xml:space="preserve">J. </w:t>
      </w:r>
      <w:proofErr w:type="spellStart"/>
      <w:r>
        <w:rPr>
          <w:i/>
        </w:rPr>
        <w:t>Cheminform</w:t>
      </w:r>
      <w:proofErr w:type="spellEnd"/>
      <w:r>
        <w:t xml:space="preserve">. The runner reportedly supports multi-seed </w:t>
      </w:r>
      <w:proofErr w:type="gramStart"/>
      <w:r>
        <w:t>evaluation</w:t>
      </w:r>
      <w:proofErr w:type="gramEnd"/>
      <w:r>
        <w:t xml:space="preserve"> but it did not run, and a five-seed replication was beyond budget, since the single-</w:t>
      </w:r>
      <w:proofErr w:type="gramStart"/>
      <w:r>
        <w:t>seed</w:t>
      </w:r>
      <w:proofErr w:type="gramEnd"/>
      <w:r>
        <w:t xml:space="preserve"> run alone consumed 112 hours of A100 time, implying roughly 560 hours for five seeds. </w:t>
      </w:r>
      <w:hyperlink r:id="rId21" w:anchor="pages=9-10">
        <w:r>
          <w:rPr>
            <w:b/>
            <w:color w:val="1F5132"/>
            <w:position w:val="7"/>
            <w:sz w:val="18"/>
            <w:szCs w:val="18"/>
          </w:rPr>
          <w:t>6</w:t>
        </w:r>
      </w:hyperlink>
      <w:r>
        <w:rPr>
          <w:i/>
        </w:rPr>
        <w:t>Required:</w:t>
      </w:r>
      <w:r>
        <w:t xml:space="preserve"> run and report the five-seed replication for at least the </w:t>
      </w:r>
      <w:r>
        <w:rPr>
          <w:b/>
        </w:rPr>
        <w:t>22 official TDC datasets</w:t>
      </w:r>
      <w:r>
        <w:t xml:space="preserve"> (a small fraction of 560 h), with mean ± SD; otherwise demote every specific rank in Figs 2–3 and Tables 3–4 to explicitly provisional status in the captions.</w:t>
      </w:r>
    </w:p>
    <w:p w14:paraId="5AA9F5EF" w14:textId="7F0EA3AE" w:rsidR="00CA4F2F" w:rsidRDefault="00203421">
      <w:r>
        <w:rPr>
          <w:b/>
        </w:rPr>
        <w:t>MC-2 — The "estimated rank" is benchmarked against a reference set the manuscript itself shows to be contaminated (must address</w:t>
      </w:r>
      <w:proofErr w:type="gramStart"/>
      <w:r>
        <w:rPr>
          <w:b/>
        </w:rPr>
        <w:t>).</w:t>
      </w:r>
      <w:r>
        <w:t>The</w:t>
      </w:r>
      <w:proofErr w:type="gramEnd"/>
      <w:r>
        <w:t xml:space="preserve"> manuscript notes that ranks are computed against curated reference values of varying density (2 to 30 references per dataset) rather than by submitting to a live leaderboard, and 10 of the 37 comparable datasets use locally generated splits. </w:t>
      </w:r>
      <w:hyperlink r:id="rId22" w:anchor="pages=9-10">
        <w:r>
          <w:rPr>
            <w:b/>
            <w:color w:val="1F5132"/>
            <w:position w:val="7"/>
            <w:sz w:val="18"/>
            <w:szCs w:val="18"/>
          </w:rPr>
          <w:t>6</w:t>
        </w:r>
      </w:hyperlink>
      <w:r>
        <w:t xml:space="preserve"> The deeper problem is reference </w:t>
      </w:r>
      <w:r>
        <w:rPr>
          <w:i/>
        </w:rPr>
        <w:t>quality</w:t>
      </w:r>
      <w:r>
        <w:t xml:space="preserve">: the cited </w:t>
      </w:r>
      <w:proofErr w:type="spellStart"/>
      <w:r>
        <w:t>Koleiev</w:t>
      </w:r>
      <w:proofErr w:type="spellEnd"/>
      <w:r>
        <w:t xml:space="preserve"> audit found that only three methods (</w:t>
      </w:r>
      <w:proofErr w:type="spellStart"/>
      <w:r>
        <w:t>CaliciBoost</w:t>
      </w:r>
      <w:proofErr w:type="spellEnd"/>
      <w:r>
        <w:t xml:space="preserve">, </w:t>
      </w:r>
      <w:proofErr w:type="spellStart"/>
      <w:r>
        <w:t>MapLight</w:t>
      </w:r>
      <w:proofErr w:type="spellEnd"/>
      <w:r>
        <w:t xml:space="preserve">, </w:t>
      </w:r>
      <w:proofErr w:type="spellStart"/>
      <w:r>
        <w:t>MapLight+GNN</w:t>
      </w:r>
      <w:proofErr w:type="spellEnd"/>
      <w:r>
        <w:t xml:space="preserve">) passed all reproducibility/leakage checks, with most top-ranked models exhibiting unavailable code, non-reproducible environments, or methodological flaws, and direct or indirect data leakage in </w:t>
      </w:r>
      <w:proofErr w:type="spellStart"/>
      <w:r>
        <w:t>MiniMol</w:t>
      </w:r>
      <w:proofErr w:type="spellEnd"/>
      <w:r>
        <w:t xml:space="preserve">, </w:t>
      </w:r>
      <w:proofErr w:type="spellStart"/>
      <w:r>
        <w:t>GradientBoost</w:t>
      </w:r>
      <w:proofErr w:type="spellEnd"/>
      <w:r>
        <w:t xml:space="preserve"> and </w:t>
      </w:r>
      <w:proofErr w:type="spellStart"/>
      <w:r>
        <w:t>XGBoost</w:t>
      </w:r>
      <w:proofErr w:type="spellEnd"/>
      <w:r>
        <w:t xml:space="preserve">, </w:t>
      </w:r>
      <w:hyperlink r:id="rId23">
        <w:r>
          <w:rPr>
            <w:b/>
            <w:color w:val="1F5132"/>
            <w:position w:val="7"/>
            <w:sz w:val="18"/>
            <w:szCs w:val="18"/>
          </w:rPr>
          <w:t>9</w:t>
        </w:r>
      </w:hyperlink>
      <w:r>
        <w:t xml:space="preserve"> and that deliberate or accidental test-set tuning can artificially elevate mediocre models to top-tier leaderboard status. </w:t>
      </w:r>
      <w:hyperlink r:id="rId24">
        <w:r>
          <w:rPr>
            <w:b/>
            <w:color w:val="1F5132"/>
            <w:position w:val="7"/>
            <w:sz w:val="18"/>
            <w:szCs w:val="18"/>
          </w:rPr>
          <w:t>9</w:t>
        </w:r>
      </w:hyperlink>
      <w:r>
        <w:t xml:space="preserve"> The package's honestly cross-validated models are thus ranked against partly inflated values. Link the §2.11 CV-vs-test analysis to these findings, discuss the resulting bias, and consider ranking against the audit-verified "honest" subset.</w:t>
      </w:r>
    </w:p>
    <w:p w14:paraId="454CAD76" w14:textId="5C7C80FC" w:rsidR="00CA4F2F" w:rsidRDefault="00203421">
      <w:r>
        <w:rPr>
          <w:b/>
        </w:rPr>
        <w:t>MC-3 — The ensemble "win" is partly an artifact of information access (must surface).</w:t>
      </w:r>
      <w:r>
        <w:t xml:space="preserve">The title leads with ensembles, but: the ensemble row is not a like-for-like competitor because ensembles are built from the other families' predictions and, under the configuration used here, their member filtering consults held-out R²; the ensemble family's apparent consistency should be read as "the pipeline's output is reliably near-best," not as evidence that stacking is intrinsically superior. </w:t>
      </w:r>
      <w:hyperlink r:id="rId25" w:anchor="pages=9-10">
        <w:r>
          <w:rPr>
            <w:b/>
            <w:color w:val="1F5132"/>
            <w:position w:val="7"/>
            <w:sz w:val="18"/>
            <w:szCs w:val="18"/>
          </w:rPr>
          <w:t>6</w:t>
        </w:r>
      </w:hyperlink>
      <w:r>
        <w:t xml:space="preserve"> Move this caveat adjacent to the headline ensemble </w:t>
      </w:r>
      <w:proofErr w:type="gramStart"/>
      <w:r>
        <w:t>claim, and</w:t>
      </w:r>
      <w:proofErr w:type="gramEnd"/>
      <w:r>
        <w:t xml:space="preserve"> ideally rebuild ensembles with CV-driven (not held-out-R²-driven) member selection.</w:t>
      </w:r>
    </w:p>
    <w:p w14:paraId="29A76754" w14:textId="7D34CFB7" w:rsidR="00CA4F2F" w:rsidRDefault="00203421">
      <w:r>
        <w:rPr>
          <w:b/>
        </w:rPr>
        <w:t>MC-4 — The GNN family barely ran (must foreground</w:t>
      </w:r>
      <w:proofErr w:type="gramStart"/>
      <w:r>
        <w:rPr>
          <w:b/>
        </w:rPr>
        <w:t>).</w:t>
      </w:r>
      <w:r>
        <w:t>Four</w:t>
      </w:r>
      <w:proofErr w:type="gramEnd"/>
      <w:r>
        <w:t xml:space="preserve"> of the five configured </w:t>
      </w:r>
      <w:proofErr w:type="spellStart"/>
      <w:r>
        <w:t>Chemprop</w:t>
      </w:r>
      <w:proofErr w:type="spellEnd"/>
      <w:r>
        <w:t xml:space="preserve"> v2 variants failed on most datasets, leaving all </w:t>
      </w:r>
      <w:proofErr w:type="spellStart"/>
      <w:r>
        <w:t>Chemprop</w:t>
      </w:r>
      <w:proofErr w:type="spellEnd"/>
      <w:r>
        <w:t xml:space="preserve"> variants valid on only 6 of 44; the author calls this "the most consequential gap for interpretation," noting a working </w:t>
      </w:r>
      <w:proofErr w:type="spellStart"/>
      <w:r>
        <w:t>Chemprop</w:t>
      </w:r>
      <w:proofErr w:type="spellEnd"/>
      <w:r>
        <w:t xml:space="preserve"> path across the full suite could change its standing substantially in either direction. </w:t>
      </w:r>
      <w:hyperlink r:id="rId26" w:anchor="pages=9-10">
        <w:r>
          <w:rPr>
            <w:b/>
            <w:color w:val="1F5132"/>
            <w:position w:val="7"/>
            <w:sz w:val="18"/>
            <w:szCs w:val="18"/>
          </w:rPr>
          <w:t>6</w:t>
        </w:r>
      </w:hyperlink>
      <w:r>
        <w:t xml:space="preserve"> State this boundary in the abstract and Discussion, since message-passing GNNs are a principal comparator.</w:t>
      </w:r>
    </w:p>
    <w:p w14:paraId="1633C4BB" w14:textId="77777777" w:rsidR="00CA4F2F" w:rsidRDefault="00203421">
      <w:r>
        <w:rPr>
          <w:b/>
        </w:rPr>
        <w:t>MC-5 — Self-benchmarking asymmetry (should acknowledge</w:t>
      </w:r>
      <w:proofErr w:type="gramStart"/>
      <w:r>
        <w:rPr>
          <w:b/>
        </w:rPr>
        <w:t>).</w:t>
      </w:r>
      <w:r>
        <w:t>Competitors</w:t>
      </w:r>
      <w:proofErr w:type="gramEnd"/>
      <w:r>
        <w:t xml:space="preserve"> were not re-run under the package's pipeline; the comparison is "our single controlled run vs. others' best published effort." State this and its likely direction of bias.</w:t>
      </w:r>
    </w:p>
    <w:p w14:paraId="5B0EEAC9" w14:textId="77777777" w:rsidR="00CA4F2F" w:rsidRDefault="00203421">
      <w:pPr>
        <w:pStyle w:val="Heading3"/>
      </w:pPr>
      <w:r>
        <w:lastRenderedPageBreak/>
        <w:t>4. Literature currency and completeness — a genuine strength</w:t>
      </w:r>
    </w:p>
    <w:p w14:paraId="66520B57" w14:textId="77777777" w:rsidR="00CA4F2F" w:rsidRDefault="00203421">
      <w:r>
        <w:t xml:space="preserve">Currency is good, engaging 2024–2026 work. The comparator set is appropriate and current, and the conceptual thesis is well-anchored: the Annual Review of Biomedical Data Science states that a substantial and consistent advantage of deep neural networks over standard ML across datasets and compound properties has not been demonstrated, and that the success of compound-activity prediction does not necessarily scale with ML model complexity. </w:t>
      </w:r>
      <w:hyperlink r:id="rId27">
        <w:r>
          <w:rPr>
            <w:b/>
            <w:color w:val="1F5132"/>
            <w:position w:val="7"/>
            <w:sz w:val="18"/>
            <w:szCs w:val="18"/>
          </w:rPr>
          <w:t>10</w:t>
        </w:r>
      </w:hyperlink>
    </w:p>
    <w:p w14:paraId="7489FF24" w14:textId="77777777" w:rsidR="00CA4F2F" w:rsidRDefault="00203421">
      <w:r>
        <w:rPr>
          <w:b/>
        </w:rPr>
        <w:t>Suggested addition:</w:t>
      </w:r>
      <w:r>
        <w:t xml:space="preserve"> the 2023 </w:t>
      </w:r>
      <w:r>
        <w:rPr>
          <w:i/>
        </w:rPr>
        <w:t>Nature Communications</w:t>
      </w:r>
      <w:r>
        <w:t xml:space="preserve"> systematic study is highly </w:t>
      </w:r>
      <w:proofErr w:type="gramStart"/>
      <w:r>
        <w:t>germane</w:t>
      </w:r>
      <w:proofErr w:type="gramEnd"/>
      <w:r>
        <w:t xml:space="preserve"> to §3.6 — it reports that fixed representations exhibit leading performance in most datasets, with SVM remaining competitive with neural networks and dataset size acting as a key bottleneck for representation-learning models. </w:t>
      </w:r>
      <w:hyperlink r:id="rId28">
        <w:r>
          <w:rPr>
            <w:b/>
            <w:color w:val="1F5132"/>
            <w:position w:val="7"/>
            <w:sz w:val="18"/>
            <w:szCs w:val="18"/>
          </w:rPr>
          <w:t>11</w:t>
        </w:r>
      </w:hyperlink>
    </w:p>
    <w:p w14:paraId="6D0DEF8D" w14:textId="77777777" w:rsidR="00CA4F2F" w:rsidRDefault="00203421">
      <w:pPr>
        <w:pStyle w:val="Heading3"/>
      </w:pPr>
      <w:r>
        <w:t>5. Citation accuracy audit (updated)</w:t>
      </w:r>
    </w:p>
    <w:p w14:paraId="4AABEE95" w14:textId="77777777" w:rsidR="00CA4F2F" w:rsidRDefault="00CA4F2F">
      <w:pPr>
        <w:spacing w:before="120" w:after="0" w:line="20" w:lineRule="exact"/>
      </w:pPr>
    </w:p>
    <w:tbl>
      <w:tblPr>
        <w:tblW w:w="5000" w:type="pct"/>
        <w:tblBorders>
          <w:top w:val="single" w:sz="4" w:space="0" w:color="D0D3D7"/>
          <w:left w:val="single" w:sz="4" w:space="0" w:color="D0D3D7"/>
          <w:bottom w:val="single" w:sz="4" w:space="0" w:color="D0D3D7"/>
          <w:right w:val="single" w:sz="4" w:space="0" w:color="D0D3D7"/>
          <w:insideH w:val="single" w:sz="4" w:space="0" w:color="D0D3D7"/>
          <w:insideV w:val="single" w:sz="4" w:space="0" w:color="D0D3D7"/>
        </w:tblBorders>
        <w:tblCellMar>
          <w:top w:w="60" w:type="dxa"/>
          <w:bottom w:w="60" w:type="dxa"/>
        </w:tblCellMar>
        <w:tblLook w:val="04A0" w:firstRow="1" w:lastRow="0" w:firstColumn="1" w:lastColumn="0" w:noHBand="0" w:noVBand="1"/>
      </w:tblPr>
      <w:tblGrid>
        <w:gridCol w:w="2066"/>
        <w:gridCol w:w="2012"/>
        <w:gridCol w:w="3218"/>
        <w:gridCol w:w="2054"/>
      </w:tblGrid>
      <w:tr w:rsidR="00CA4F2F" w14:paraId="0C9BBE96" w14:textId="77777777">
        <w:trPr>
          <w:cantSplit/>
          <w:tblHeader/>
        </w:trPr>
        <w:tc>
          <w:tcPr>
            <w:tcW w:w="2340" w:type="dxa"/>
            <w:shd w:val="clear" w:color="auto" w:fill="1F5132"/>
          </w:tcPr>
          <w:p w14:paraId="40EC956F" w14:textId="77777777" w:rsidR="00CA4F2F" w:rsidRDefault="00203421">
            <w:pPr>
              <w:pStyle w:val="TableHeader"/>
              <w:keepNext/>
            </w:pPr>
            <w:r>
              <w:lastRenderedPageBreak/>
              <w:t>Ref</w:t>
            </w:r>
          </w:p>
        </w:tc>
        <w:tc>
          <w:tcPr>
            <w:tcW w:w="2340" w:type="dxa"/>
            <w:shd w:val="clear" w:color="auto" w:fill="1F5132"/>
          </w:tcPr>
          <w:p w14:paraId="4F2D8BDB" w14:textId="77777777" w:rsidR="00CA4F2F" w:rsidRDefault="00203421">
            <w:pPr>
              <w:pStyle w:val="TableHeader"/>
              <w:keepNext/>
            </w:pPr>
            <w:r>
              <w:t>Claim</w:t>
            </w:r>
          </w:p>
        </w:tc>
        <w:tc>
          <w:tcPr>
            <w:tcW w:w="2340" w:type="dxa"/>
            <w:shd w:val="clear" w:color="auto" w:fill="1F5132"/>
          </w:tcPr>
          <w:p w14:paraId="215B23CE" w14:textId="77777777" w:rsidR="00CA4F2F" w:rsidRDefault="00203421">
            <w:pPr>
              <w:pStyle w:val="TableHeader"/>
              <w:keepNext/>
            </w:pPr>
            <w:r>
              <w:t>Verification</w:t>
            </w:r>
          </w:p>
        </w:tc>
        <w:tc>
          <w:tcPr>
            <w:tcW w:w="2340" w:type="dxa"/>
            <w:shd w:val="clear" w:color="auto" w:fill="1F5132"/>
          </w:tcPr>
          <w:p w14:paraId="4079681C" w14:textId="77777777" w:rsidR="00CA4F2F" w:rsidRDefault="00203421">
            <w:pPr>
              <w:pStyle w:val="TableHeader"/>
              <w:keepNext/>
            </w:pPr>
            <w:r>
              <w:t>Action</w:t>
            </w:r>
          </w:p>
        </w:tc>
      </w:tr>
      <w:tr w:rsidR="00CA4F2F" w14:paraId="741CB089" w14:textId="77777777">
        <w:trPr>
          <w:cantSplit/>
        </w:trPr>
        <w:tc>
          <w:tcPr>
            <w:tcW w:w="2340" w:type="dxa"/>
          </w:tcPr>
          <w:p w14:paraId="4DEB2DC0" w14:textId="77777777" w:rsidR="00CA4F2F" w:rsidRPr="008B28B5" w:rsidRDefault="00203421">
            <w:pPr>
              <w:pStyle w:val="TableBody"/>
              <w:keepNext/>
              <w:rPr>
                <w:lang w:val="es-ES"/>
              </w:rPr>
            </w:pPr>
            <w:hyperlink r:id="rId29">
              <w:r w:rsidRPr="008B28B5">
                <w:rPr>
                  <w:b/>
                  <w:color w:val="1F5132"/>
                  <w:position w:val="7"/>
                  <w:sz w:val="18"/>
                  <w:szCs w:val="18"/>
                  <w:lang w:val="es-ES"/>
                </w:rPr>
                <w:t>1</w:t>
              </w:r>
            </w:hyperlink>
            <w:r w:rsidRPr="008B28B5">
              <w:rPr>
                <w:lang w:val="es-ES"/>
              </w:rPr>
              <w:t xml:space="preserve"> ADMETlab 3.0 (Fu et al., </w:t>
            </w:r>
            <w:r w:rsidRPr="008B28B5">
              <w:rPr>
                <w:i/>
                <w:lang w:val="es-ES"/>
              </w:rPr>
              <w:t>NAR</w:t>
            </w:r>
            <w:r w:rsidRPr="008B28B5">
              <w:rPr>
                <w:lang w:val="es-ES"/>
              </w:rPr>
              <w:t xml:space="preserve"> 2024)</w:t>
            </w:r>
          </w:p>
        </w:tc>
        <w:tc>
          <w:tcPr>
            <w:tcW w:w="2340" w:type="dxa"/>
          </w:tcPr>
          <w:p w14:paraId="5246ED80" w14:textId="77777777" w:rsidR="00CA4F2F" w:rsidRDefault="00203421">
            <w:pPr>
              <w:pStyle w:val="TableBody"/>
              <w:keepNext/>
            </w:pPr>
            <w:r>
              <w:t>Opening attrition stats</w:t>
            </w:r>
          </w:p>
        </w:tc>
        <w:tc>
          <w:tcPr>
            <w:tcW w:w="2340" w:type="dxa"/>
          </w:tcPr>
          <w:p w14:paraId="06121DAC" w14:textId="77777777" w:rsidR="00CA4F2F" w:rsidRDefault="00203421">
            <w:pPr>
              <w:pStyle w:val="TableBody"/>
              <w:keepNext/>
            </w:pPr>
            <w:r>
              <w:t xml:space="preserve">Accurate but a </w:t>
            </w:r>
            <w:r>
              <w:rPr>
                <w:b/>
              </w:rPr>
              <w:t>close paraphrase</w:t>
            </w:r>
            <w:r>
              <w:t xml:space="preserve"> of </w:t>
            </w:r>
            <w:proofErr w:type="spellStart"/>
            <w:r>
              <w:t>ADMETlab</w:t>
            </w:r>
            <w:proofErr w:type="spellEnd"/>
            <w:r>
              <w:t xml:space="preserve"> 3.0's own introduction, which states ~93% preclinical attrition, &gt;75% clinical failure, ~40% ADME-caused failures, and toxicity up to 30%. </w:t>
            </w:r>
            <w:hyperlink r:id="rId30">
              <w:r>
                <w:rPr>
                  <w:b/>
                  <w:color w:val="1F5132"/>
                  <w:position w:val="7"/>
                  <w:sz w:val="18"/>
                  <w:szCs w:val="18"/>
                </w:rPr>
                <w:t>12</w:t>
              </w:r>
            </w:hyperlink>
            <w:r>
              <w:t xml:space="preserve"> </w:t>
            </w:r>
            <w:r>
              <w:rPr>
                <w:b/>
              </w:rPr>
              <w:t>Possible author-name errors:</w:t>
            </w:r>
            <w:r>
              <w:t xml:space="preserve"> the manuscript's spellings ("Shaoyang Shi," "Zhiyi Wu," "Weixing Zhao") differ from the record's ("Shaohua Shi," "</w:t>
            </w:r>
            <w:proofErr w:type="spellStart"/>
            <w:r>
              <w:t>Zhenxing</w:t>
            </w:r>
            <w:proofErr w:type="spellEnd"/>
            <w:r>
              <w:t xml:space="preserve"> Wu," "Wentao Zhao") as listed in the indexed author metadata. </w:t>
            </w:r>
            <w:hyperlink r:id="rId31">
              <w:r>
                <w:rPr>
                  <w:b/>
                  <w:color w:val="1F5132"/>
                  <w:position w:val="7"/>
                  <w:sz w:val="18"/>
                  <w:szCs w:val="18"/>
                </w:rPr>
                <w:t>13</w:t>
              </w:r>
            </w:hyperlink>
          </w:p>
        </w:tc>
        <w:tc>
          <w:tcPr>
            <w:tcW w:w="2340" w:type="dxa"/>
          </w:tcPr>
          <w:p w14:paraId="0008FE9E" w14:textId="77777777" w:rsidR="00CA4F2F" w:rsidRDefault="00203421">
            <w:pPr>
              <w:pStyle w:val="TableBody"/>
              <w:keepNext/>
            </w:pPr>
            <w:r>
              <w:t xml:space="preserve">Reword to cite </w:t>
            </w:r>
            <w:r>
              <w:rPr>
                <w:b/>
              </w:rPr>
              <w:t>primary</w:t>
            </w:r>
            <w:r>
              <w:t xml:space="preserve"> sources (see §A(a)); verify author spellings against the DOI.</w:t>
            </w:r>
          </w:p>
        </w:tc>
      </w:tr>
      <w:tr w:rsidR="00CA4F2F" w14:paraId="09C3FE6C" w14:textId="77777777">
        <w:trPr>
          <w:cantSplit/>
        </w:trPr>
        <w:tc>
          <w:tcPr>
            <w:tcW w:w="2340" w:type="dxa"/>
          </w:tcPr>
          <w:p w14:paraId="0BAD805E" w14:textId="77777777" w:rsidR="00CA4F2F" w:rsidRDefault="00203421">
            <w:pPr>
              <w:pStyle w:val="TableBody"/>
              <w:keepNext/>
            </w:pPr>
            <w:hyperlink r:id="rId32">
              <w:r>
                <w:rPr>
                  <w:b/>
                  <w:color w:val="1F5132"/>
                  <w:position w:val="7"/>
                  <w:sz w:val="18"/>
                  <w:szCs w:val="18"/>
                </w:rPr>
                <w:t>2</w:t>
              </w:r>
            </w:hyperlink>
            <w:r>
              <w:t xml:space="preserve"> ADDME, </w:t>
            </w:r>
            <w:r>
              <w:rPr>
                <w:i/>
              </w:rPr>
              <w:t>BMC Neurology</w:t>
            </w:r>
            <w:r>
              <w:t xml:space="preserve"> 2009</w:t>
            </w:r>
          </w:p>
        </w:tc>
        <w:tc>
          <w:tcPr>
            <w:tcW w:w="2340" w:type="dxa"/>
          </w:tcPr>
          <w:p w14:paraId="1A225C5C" w14:textId="77777777" w:rsidR="00CA4F2F" w:rsidRDefault="00203421">
            <w:pPr>
              <w:pStyle w:val="TableBody"/>
              <w:keepNext/>
            </w:pPr>
            <w:r>
              <w:t>40%→11% drop</w:t>
            </w:r>
          </w:p>
        </w:tc>
        <w:tc>
          <w:tcPr>
            <w:tcW w:w="2340" w:type="dxa"/>
          </w:tcPr>
          <w:p w14:paraId="333DF077" w14:textId="77777777" w:rsidR="00CA4F2F" w:rsidRDefault="00203421">
            <w:pPr>
              <w:pStyle w:val="TableBody"/>
              <w:keepNext/>
            </w:pPr>
            <w:r>
              <w:t xml:space="preserve">Exists and supports it — "ADME and drug metabolism PK reasons for failure fell from 40% to 11%," </w:t>
            </w:r>
            <w:hyperlink r:id="rId33">
              <w:r>
                <w:rPr>
                  <w:b/>
                  <w:color w:val="1F5132"/>
                  <w:position w:val="7"/>
                  <w:sz w:val="18"/>
                  <w:szCs w:val="18"/>
                </w:rPr>
                <w:t>14</w:t>
              </w:r>
            </w:hyperlink>
            <w:r>
              <w:t xml:space="preserve"> itself citing Kola &amp; Landis. </w:t>
            </w:r>
            <w:r>
              <w:rPr>
                <w:rFonts w:ascii="Courier New" w:hAnsi="Courier New"/>
                <w:b/>
                <w:sz w:val="18"/>
                <w:shd w:val="clear" w:color="auto" w:fill="F2F1F0"/>
              </w:rPr>
              <w:t>[VERIFY]</w:t>
            </w:r>
            <w:r>
              <w:rPr>
                <w:b/>
              </w:rPr>
              <w:t xml:space="preserve"> author byline unresolved.</w:t>
            </w:r>
          </w:p>
        </w:tc>
        <w:tc>
          <w:tcPr>
            <w:tcW w:w="2340" w:type="dxa"/>
          </w:tcPr>
          <w:p w14:paraId="6A3EE42A" w14:textId="77777777" w:rsidR="00CA4F2F" w:rsidRDefault="00203421">
            <w:pPr>
              <w:pStyle w:val="TableBody"/>
              <w:keepNext/>
            </w:pPr>
            <w:r>
              <w:rPr>
                <w:b/>
              </w:rPr>
              <w:t>Replace with the primary</w:t>
            </w:r>
            <w:r>
              <w:t xml:space="preserve"> Kola &amp; Landis, </w:t>
            </w:r>
            <w:r>
              <w:rPr>
                <w:i/>
              </w:rPr>
              <w:t xml:space="preserve">Nat Rev Drug </w:t>
            </w:r>
            <w:proofErr w:type="spellStart"/>
            <w:r>
              <w:rPr>
                <w:i/>
              </w:rPr>
              <w:t>Discov</w:t>
            </w:r>
            <w:proofErr w:type="spellEnd"/>
            <w:r>
              <w:t xml:space="preserve"> 2004;3(8):711–715. </w:t>
            </w:r>
            <w:hyperlink r:id="rId34">
              <w:r>
                <w:rPr>
                  <w:b/>
                  <w:color w:val="1F5132"/>
                  <w:position w:val="7"/>
                  <w:sz w:val="18"/>
                  <w:szCs w:val="18"/>
                </w:rPr>
                <w:t>15</w:t>
              </w:r>
            </w:hyperlink>
          </w:p>
        </w:tc>
      </w:tr>
      <w:tr w:rsidR="00CA4F2F" w14:paraId="0F127B83" w14:textId="77777777">
        <w:trPr>
          <w:cantSplit/>
        </w:trPr>
        <w:tc>
          <w:tcPr>
            <w:tcW w:w="2340" w:type="dxa"/>
          </w:tcPr>
          <w:p w14:paraId="3F041C92" w14:textId="0A6600FC" w:rsidR="00CA4F2F" w:rsidRDefault="00203421">
            <w:pPr>
              <w:pStyle w:val="TableBody"/>
              <w:keepNext/>
            </w:pPr>
            <w:hyperlink r:id="rId35" w:anchor="pages=9-10">
              <w:r>
                <w:rPr>
                  <w:b/>
                  <w:color w:val="1F5132"/>
                  <w:position w:val="7"/>
                  <w:sz w:val="18"/>
                  <w:szCs w:val="18"/>
                </w:rPr>
                <w:t>6</w:t>
              </w:r>
            </w:hyperlink>
            <w:r>
              <w:t xml:space="preserve"> </w:t>
            </w:r>
            <w:proofErr w:type="spellStart"/>
            <w:r>
              <w:t>MolE</w:t>
            </w:r>
            <w:proofErr w:type="spellEnd"/>
          </w:p>
        </w:tc>
        <w:tc>
          <w:tcPr>
            <w:tcW w:w="2340" w:type="dxa"/>
          </w:tcPr>
          <w:p w14:paraId="1BC8F4BE" w14:textId="77777777" w:rsidR="00CA4F2F" w:rsidRDefault="00203421">
            <w:pPr>
              <w:pStyle w:val="TableBody"/>
              <w:keepNext/>
            </w:pPr>
            <w:r>
              <w:t>3D/foundation context</w:t>
            </w:r>
          </w:p>
        </w:tc>
        <w:tc>
          <w:tcPr>
            <w:tcW w:w="2340" w:type="dxa"/>
          </w:tcPr>
          <w:p w14:paraId="0761DF7D" w14:textId="77777777" w:rsidR="00CA4F2F" w:rsidRDefault="00203421">
            <w:pPr>
              <w:pStyle w:val="TableBody"/>
              <w:keepNext/>
            </w:pPr>
            <w:r>
              <w:rPr>
                <w:rFonts w:ascii="Courier New" w:hAnsi="Courier New"/>
                <w:b/>
                <w:sz w:val="18"/>
                <w:shd w:val="clear" w:color="auto" w:fill="F2F1F0"/>
              </w:rPr>
              <w:t>[VERIFY]</w:t>
            </w:r>
            <w:r>
              <w:rPr>
                <w:b/>
              </w:rPr>
              <w:t xml:space="preserve"> RESOLVED:</w:t>
            </w:r>
            <w:r>
              <w:t xml:space="preserve"> </w:t>
            </w:r>
            <w:r>
              <w:rPr>
                <w:i/>
              </w:rPr>
              <w:t>Nat Commun</w:t>
            </w:r>
            <w:r>
              <w:t xml:space="preserve"> </w:t>
            </w:r>
            <w:proofErr w:type="gramStart"/>
            <w:r>
              <w:t>2024;15:9431</w:t>
            </w:r>
            <w:proofErr w:type="gramEnd"/>
            <w:r>
              <w:t xml:space="preserve">, doi:10.1038/s41467-024-53751-y </w:t>
            </w:r>
            <w:hyperlink r:id="rId36">
              <w:r>
                <w:rPr>
                  <w:b/>
                  <w:color w:val="1F5132"/>
                  <w:position w:val="7"/>
                  <w:sz w:val="18"/>
                  <w:szCs w:val="18"/>
                </w:rPr>
                <w:t>16</w:t>
              </w:r>
            </w:hyperlink>
            <w:r>
              <w:t xml:space="preserve"> — article no. 9431 correct.</w:t>
            </w:r>
          </w:p>
        </w:tc>
        <w:tc>
          <w:tcPr>
            <w:tcW w:w="2340" w:type="dxa"/>
          </w:tcPr>
          <w:p w14:paraId="50C7764E" w14:textId="77777777" w:rsidR="00CA4F2F" w:rsidRDefault="00203421">
            <w:pPr>
              <w:pStyle w:val="TableBody"/>
              <w:keepNext/>
            </w:pPr>
            <w:r>
              <w:t xml:space="preserve">Remove </w:t>
            </w:r>
            <w:r>
              <w:rPr>
                <w:rFonts w:ascii="Courier New" w:hAnsi="Courier New"/>
                <w:sz w:val="18"/>
                <w:shd w:val="clear" w:color="auto" w:fill="F2F1F0"/>
              </w:rPr>
              <w:t>[VERIFY]</w:t>
            </w:r>
            <w:r>
              <w:t>.</w:t>
            </w:r>
          </w:p>
        </w:tc>
      </w:tr>
      <w:tr w:rsidR="00CA4F2F" w14:paraId="0892A046" w14:textId="77777777">
        <w:trPr>
          <w:cantSplit/>
        </w:trPr>
        <w:tc>
          <w:tcPr>
            <w:tcW w:w="2340" w:type="dxa"/>
          </w:tcPr>
          <w:p w14:paraId="5318F6A7" w14:textId="77777777" w:rsidR="00CA4F2F" w:rsidRPr="008B28B5" w:rsidRDefault="00203421">
            <w:pPr>
              <w:pStyle w:val="TableBody"/>
              <w:keepNext/>
              <w:rPr>
                <w:lang w:val="es-ES"/>
              </w:rPr>
            </w:pPr>
            <w:hyperlink r:id="rId37">
              <w:r w:rsidRPr="008B28B5">
                <w:rPr>
                  <w:b/>
                  <w:color w:val="1F5132"/>
                  <w:position w:val="7"/>
                  <w:sz w:val="18"/>
                  <w:szCs w:val="18"/>
                  <w:lang w:val="es-ES"/>
                </w:rPr>
                <w:t>9</w:t>
              </w:r>
            </w:hyperlink>
            <w:r w:rsidRPr="008B28B5">
              <w:rPr>
                <w:lang w:val="es-ES"/>
              </w:rPr>
              <w:t xml:space="preserve"> Uni-Mol (Zhou et al., ICLR 2023)</w:t>
            </w:r>
          </w:p>
        </w:tc>
        <w:tc>
          <w:tcPr>
            <w:tcW w:w="2340" w:type="dxa"/>
          </w:tcPr>
          <w:p w14:paraId="7FBB48FE" w14:textId="77777777" w:rsidR="00CA4F2F" w:rsidRDefault="00203421">
            <w:pPr>
              <w:pStyle w:val="TableBody"/>
              <w:keepNext/>
            </w:pPr>
            <w:r>
              <w:t>3D model</w:t>
            </w:r>
          </w:p>
        </w:tc>
        <w:tc>
          <w:tcPr>
            <w:tcW w:w="2340" w:type="dxa"/>
          </w:tcPr>
          <w:p w14:paraId="4EEC40CB" w14:textId="77777777" w:rsidR="00CA4F2F" w:rsidRDefault="00203421">
            <w:pPr>
              <w:pStyle w:val="TableBody"/>
              <w:keepNext/>
            </w:pPr>
            <w:r>
              <w:t xml:space="preserve">Correct for </w:t>
            </w:r>
            <w:r>
              <w:rPr>
                <w:b/>
              </w:rPr>
              <w:t>V1</w:t>
            </w:r>
            <w:r>
              <w:t xml:space="preserve">; but </w:t>
            </w:r>
            <w:r>
              <w:rPr>
                <w:b/>
              </w:rPr>
              <w:t>Uni-Mol V2 (84m)</w:t>
            </w:r>
            <w:r>
              <w:t xml:space="preserve"> is run and needs its own citation.</w:t>
            </w:r>
          </w:p>
        </w:tc>
        <w:tc>
          <w:tcPr>
            <w:tcW w:w="2340" w:type="dxa"/>
          </w:tcPr>
          <w:p w14:paraId="587E83C9" w14:textId="77777777" w:rsidR="00CA4F2F" w:rsidRDefault="00203421">
            <w:pPr>
              <w:pStyle w:val="TableBody"/>
              <w:keepNext/>
            </w:pPr>
            <w:r>
              <w:t>Add Uni-Mol2 (see §A(c)).</w:t>
            </w:r>
          </w:p>
        </w:tc>
      </w:tr>
      <w:tr w:rsidR="00CA4F2F" w14:paraId="01B3F031" w14:textId="77777777">
        <w:trPr>
          <w:cantSplit/>
        </w:trPr>
        <w:tc>
          <w:tcPr>
            <w:tcW w:w="2340" w:type="dxa"/>
          </w:tcPr>
          <w:p w14:paraId="7C1B4045" w14:textId="77777777" w:rsidR="00CA4F2F" w:rsidRDefault="00203421">
            <w:pPr>
              <w:pStyle w:val="TableBody"/>
              <w:keepNext/>
            </w:pPr>
            <w:hyperlink r:id="rId38">
              <w:r>
                <w:rPr>
                  <w:b/>
                  <w:color w:val="1F5132"/>
                  <w:position w:val="7"/>
                  <w:sz w:val="18"/>
                  <w:szCs w:val="18"/>
                </w:rPr>
                <w:t>12</w:t>
              </w:r>
            </w:hyperlink>
            <w:r>
              <w:t xml:space="preserve"> </w:t>
            </w:r>
            <w:proofErr w:type="spellStart"/>
            <w:r>
              <w:t>MapLight</w:t>
            </w:r>
            <w:proofErr w:type="spellEnd"/>
          </w:p>
        </w:tc>
        <w:tc>
          <w:tcPr>
            <w:tcW w:w="2340" w:type="dxa"/>
          </w:tcPr>
          <w:p w14:paraId="3C7D82AA" w14:textId="77777777" w:rsidR="00CA4F2F" w:rsidRDefault="00203421">
            <w:pPr>
              <w:pStyle w:val="TableBody"/>
              <w:keepNext/>
            </w:pPr>
            <w:proofErr w:type="gramStart"/>
            <w:r>
              <w:t>top-3</w:t>
            </w:r>
            <w:proofErr w:type="gramEnd"/>
            <w:r>
              <w:t xml:space="preserve"> on 16/22</w:t>
            </w:r>
          </w:p>
        </w:tc>
        <w:tc>
          <w:tcPr>
            <w:tcW w:w="2340" w:type="dxa"/>
          </w:tcPr>
          <w:p w14:paraId="360A874E" w14:textId="77777777" w:rsidR="00CA4F2F" w:rsidRDefault="00203421">
            <w:pPr>
              <w:pStyle w:val="TableBody"/>
              <w:keepNext/>
            </w:pPr>
            <w:r>
              <w:rPr>
                <w:b/>
              </w:rPr>
              <w:t>Accurate:</w:t>
            </w:r>
            <w:r>
              <w:t xml:space="preserve"> </w:t>
            </w:r>
            <w:proofErr w:type="gramStart"/>
            <w:r>
              <w:t>top-1</w:t>
            </w:r>
            <w:proofErr w:type="gramEnd"/>
            <w:r>
              <w:t xml:space="preserve"> on 6/22 and </w:t>
            </w:r>
            <w:proofErr w:type="gramStart"/>
            <w:r>
              <w:t>top-3</w:t>
            </w:r>
            <w:proofErr w:type="gramEnd"/>
            <w:r>
              <w:t xml:space="preserve"> on 16/22 with </w:t>
            </w:r>
            <w:proofErr w:type="spellStart"/>
            <w:r>
              <w:t>CatBoost+ECFP</w:t>
            </w:r>
            <w:proofErr w:type="spellEnd"/>
            <w:r>
              <w:t xml:space="preserve">/Avalon/ErG+200 properties. </w:t>
            </w:r>
            <w:hyperlink r:id="rId39">
              <w:r>
                <w:rPr>
                  <w:b/>
                  <w:color w:val="1F5132"/>
                  <w:position w:val="7"/>
                  <w:sz w:val="18"/>
                  <w:szCs w:val="18"/>
                </w:rPr>
                <w:t>17</w:t>
              </w:r>
            </w:hyperlink>
          </w:p>
        </w:tc>
        <w:tc>
          <w:tcPr>
            <w:tcW w:w="2340" w:type="dxa"/>
          </w:tcPr>
          <w:p w14:paraId="4CF5831E" w14:textId="77777777" w:rsidR="00CA4F2F" w:rsidRDefault="00203421">
            <w:pPr>
              <w:pStyle w:val="TableBody"/>
              <w:keepNext/>
            </w:pPr>
            <w:r>
              <w:t>None.</w:t>
            </w:r>
          </w:p>
        </w:tc>
      </w:tr>
      <w:tr w:rsidR="00CA4F2F" w14:paraId="754C40D9" w14:textId="77777777">
        <w:trPr>
          <w:cantSplit/>
        </w:trPr>
        <w:tc>
          <w:tcPr>
            <w:tcW w:w="2340" w:type="dxa"/>
          </w:tcPr>
          <w:p w14:paraId="6F12368E" w14:textId="77777777" w:rsidR="00CA4F2F" w:rsidRDefault="00203421">
            <w:pPr>
              <w:pStyle w:val="TableBody"/>
              <w:keepNext/>
            </w:pPr>
            <w:hyperlink r:id="rId40">
              <w:r>
                <w:rPr>
                  <w:b/>
                  <w:color w:val="1F5132"/>
                  <w:position w:val="7"/>
                  <w:sz w:val="18"/>
                  <w:szCs w:val="18"/>
                </w:rPr>
                <w:t>14</w:t>
              </w:r>
            </w:hyperlink>
            <w:r>
              <w:t xml:space="preserve"> </w:t>
            </w:r>
            <w:proofErr w:type="spellStart"/>
            <w:r>
              <w:t>MaxQsaring</w:t>
            </w:r>
            <w:proofErr w:type="spellEnd"/>
          </w:p>
        </w:tc>
        <w:tc>
          <w:tcPr>
            <w:tcW w:w="2340" w:type="dxa"/>
          </w:tcPr>
          <w:p w14:paraId="28C3CC9E" w14:textId="77777777" w:rsidR="00CA4F2F" w:rsidRDefault="00203421">
            <w:pPr>
              <w:pStyle w:val="TableBody"/>
              <w:keepNext/>
            </w:pPr>
            <w:r>
              <w:t>first on 19/22</w:t>
            </w:r>
          </w:p>
        </w:tc>
        <w:tc>
          <w:tcPr>
            <w:tcW w:w="2340" w:type="dxa"/>
          </w:tcPr>
          <w:p w14:paraId="7A8D8A82" w14:textId="77777777" w:rsidR="00CA4F2F" w:rsidRDefault="00203421">
            <w:pPr>
              <w:pStyle w:val="TableBody"/>
              <w:keepNext/>
            </w:pPr>
            <w:r>
              <w:rPr>
                <w:b/>
              </w:rPr>
              <w:t>Accurate:</w:t>
            </w:r>
            <w:r>
              <w:t xml:space="preserve"> </w:t>
            </w:r>
            <w:proofErr w:type="spellStart"/>
            <w:r>
              <w:t>MaxQsaring</w:t>
            </w:r>
            <w:proofErr w:type="spellEnd"/>
            <w:r>
              <w:t xml:space="preserve"> ranked first in 19 of 22 TDC tasks; </w:t>
            </w:r>
            <w:hyperlink r:id="rId41">
              <w:r>
                <w:rPr>
                  <w:b/>
                  <w:color w:val="1F5132"/>
                  <w:position w:val="7"/>
                  <w:sz w:val="18"/>
                  <w:szCs w:val="18"/>
                </w:rPr>
                <w:t>18</w:t>
              </w:r>
            </w:hyperlink>
            <w:r>
              <w:t xml:space="preserve"> the paper is now published (2025).</w:t>
            </w:r>
          </w:p>
        </w:tc>
        <w:tc>
          <w:tcPr>
            <w:tcW w:w="2340" w:type="dxa"/>
          </w:tcPr>
          <w:p w14:paraId="23079783" w14:textId="77777777" w:rsidR="00CA4F2F" w:rsidRDefault="00203421">
            <w:pPr>
              <w:pStyle w:val="TableBody"/>
              <w:keepNext/>
            </w:pPr>
            <w:r>
              <w:t>Confirm published venue.</w:t>
            </w:r>
          </w:p>
        </w:tc>
      </w:tr>
      <w:tr w:rsidR="00CA4F2F" w14:paraId="44D21C44" w14:textId="77777777">
        <w:trPr>
          <w:cantSplit/>
        </w:trPr>
        <w:tc>
          <w:tcPr>
            <w:tcW w:w="2340" w:type="dxa"/>
          </w:tcPr>
          <w:p w14:paraId="0960B0E2" w14:textId="77777777" w:rsidR="00CA4F2F" w:rsidRDefault="00203421">
            <w:pPr>
              <w:pStyle w:val="TableBody"/>
              <w:keepNext/>
            </w:pPr>
            <w:hyperlink r:id="rId42">
              <w:r>
                <w:rPr>
                  <w:b/>
                  <w:color w:val="1F5132"/>
                  <w:position w:val="7"/>
                  <w:sz w:val="18"/>
                  <w:szCs w:val="18"/>
                </w:rPr>
                <w:t>18</w:t>
              </w:r>
            </w:hyperlink>
            <w:r>
              <w:t xml:space="preserve"> </w:t>
            </w:r>
            <w:proofErr w:type="spellStart"/>
            <w:r>
              <w:t>Koleiev</w:t>
            </w:r>
            <w:proofErr w:type="spellEnd"/>
            <w:r>
              <w:t xml:space="preserve"> et al.</w:t>
            </w:r>
          </w:p>
        </w:tc>
        <w:tc>
          <w:tcPr>
            <w:tcW w:w="2340" w:type="dxa"/>
          </w:tcPr>
          <w:p w14:paraId="5D6E7EE1" w14:textId="77777777" w:rsidR="00CA4F2F" w:rsidRDefault="00203421">
            <w:pPr>
              <w:pStyle w:val="TableBody"/>
              <w:keepNext/>
            </w:pPr>
            <w:r>
              <w:t>TDC critique</w:t>
            </w:r>
          </w:p>
        </w:tc>
        <w:tc>
          <w:tcPr>
            <w:tcW w:w="2340" w:type="dxa"/>
          </w:tcPr>
          <w:p w14:paraId="73066117" w14:textId="77777777" w:rsidR="00CA4F2F" w:rsidRDefault="00203421">
            <w:pPr>
              <w:pStyle w:val="TableBody"/>
              <w:keepNext/>
            </w:pPr>
            <w:r>
              <w:t xml:space="preserve">Preprint exists; </w:t>
            </w:r>
            <w:r>
              <w:rPr>
                <w:b/>
              </w:rPr>
              <w:t>peer-reviewed version now available:</w:t>
            </w:r>
            <w:r>
              <w:t xml:space="preserve"> "An End-User Audit … of the Top-Ranked ADMET Prediction Models in TDC Leaderboards," </w:t>
            </w:r>
            <w:r>
              <w:rPr>
                <w:i/>
              </w:rPr>
              <w:t>J. Chem. Inf. Model.</w:t>
            </w:r>
            <w:r>
              <w:t xml:space="preserve"> 2026, </w:t>
            </w:r>
            <w:proofErr w:type="gramStart"/>
            <w:r>
              <w:t>doi:10.1021/acs.jcim</w:t>
            </w:r>
            <w:proofErr w:type="gramEnd"/>
            <w:r>
              <w:t xml:space="preserve">.6c00819. </w:t>
            </w:r>
            <w:hyperlink r:id="rId43">
              <w:r>
                <w:rPr>
                  <w:b/>
                  <w:color w:val="1F5132"/>
                  <w:position w:val="7"/>
                  <w:sz w:val="18"/>
                  <w:szCs w:val="18"/>
                </w:rPr>
                <w:t>19</w:t>
              </w:r>
            </w:hyperlink>
          </w:p>
        </w:tc>
        <w:tc>
          <w:tcPr>
            <w:tcW w:w="2340" w:type="dxa"/>
          </w:tcPr>
          <w:p w14:paraId="56C7AA03" w14:textId="77777777" w:rsidR="00CA4F2F" w:rsidRDefault="00203421">
            <w:pPr>
              <w:pStyle w:val="TableBody"/>
              <w:keepNext/>
            </w:pPr>
            <w:r>
              <w:t>Update to JCIM version.</w:t>
            </w:r>
          </w:p>
        </w:tc>
      </w:tr>
      <w:tr w:rsidR="00CA4F2F" w14:paraId="41A914B0" w14:textId="77777777">
        <w:trPr>
          <w:cantSplit/>
        </w:trPr>
        <w:tc>
          <w:tcPr>
            <w:tcW w:w="2340" w:type="dxa"/>
          </w:tcPr>
          <w:p w14:paraId="4B933B1D" w14:textId="77777777" w:rsidR="00CA4F2F" w:rsidRDefault="00203421">
            <w:pPr>
              <w:pStyle w:val="TableBody"/>
              <w:keepNext/>
            </w:pPr>
            <w:hyperlink r:id="rId44">
              <w:r>
                <w:rPr>
                  <w:b/>
                  <w:color w:val="1F5132"/>
                  <w:position w:val="7"/>
                  <w:sz w:val="18"/>
                  <w:szCs w:val="18"/>
                </w:rPr>
                <w:t>19</w:t>
              </w:r>
            </w:hyperlink>
            <w:r>
              <w:t xml:space="preserve"> ADMET-AI</w:t>
            </w:r>
          </w:p>
        </w:tc>
        <w:tc>
          <w:tcPr>
            <w:tcW w:w="2340" w:type="dxa"/>
          </w:tcPr>
          <w:p w14:paraId="6A4F9C47" w14:textId="77777777" w:rsidR="00CA4F2F" w:rsidRDefault="00203421">
            <w:pPr>
              <w:pStyle w:val="TableBody"/>
              <w:keepNext/>
            </w:pPr>
            <w:r>
              <w:t>comparator</w:t>
            </w:r>
          </w:p>
        </w:tc>
        <w:tc>
          <w:tcPr>
            <w:tcW w:w="2340" w:type="dxa"/>
          </w:tcPr>
          <w:p w14:paraId="0B2B3A58" w14:textId="77777777" w:rsidR="00CA4F2F" w:rsidRDefault="00203421">
            <w:pPr>
              <w:pStyle w:val="TableBody"/>
              <w:keepNext/>
            </w:pPr>
            <w:r>
              <w:rPr>
                <w:b/>
              </w:rPr>
              <w:t>Accurate:</w:t>
            </w:r>
            <w:r>
              <w:t xml:space="preserve"> Swanson et al., </w:t>
            </w:r>
            <w:r>
              <w:rPr>
                <w:i/>
              </w:rPr>
              <w:t>Bioinformatics</w:t>
            </w:r>
            <w:r>
              <w:t xml:space="preserve"> 40(7</w:t>
            </w:r>
            <w:proofErr w:type="gramStart"/>
            <w:r>
              <w:t>):btae</w:t>
            </w:r>
            <w:proofErr w:type="gramEnd"/>
            <w:r>
              <w:t xml:space="preserve">416, 2024. </w:t>
            </w:r>
            <w:hyperlink r:id="rId45">
              <w:r>
                <w:rPr>
                  <w:b/>
                  <w:color w:val="1F5132"/>
                  <w:position w:val="7"/>
                  <w:sz w:val="18"/>
                  <w:szCs w:val="18"/>
                </w:rPr>
                <w:t>7</w:t>
              </w:r>
            </w:hyperlink>
          </w:p>
        </w:tc>
        <w:tc>
          <w:tcPr>
            <w:tcW w:w="2340" w:type="dxa"/>
          </w:tcPr>
          <w:p w14:paraId="146A00B0" w14:textId="77777777" w:rsidR="00CA4F2F" w:rsidRDefault="00203421">
            <w:pPr>
              <w:pStyle w:val="TableBody"/>
              <w:keepNext/>
            </w:pPr>
            <w:r>
              <w:t>None.</w:t>
            </w:r>
          </w:p>
        </w:tc>
      </w:tr>
      <w:tr w:rsidR="00CA4F2F" w14:paraId="3BFB378C" w14:textId="77777777">
        <w:trPr>
          <w:cantSplit/>
        </w:trPr>
        <w:tc>
          <w:tcPr>
            <w:tcW w:w="2340" w:type="dxa"/>
          </w:tcPr>
          <w:p w14:paraId="0E8B78FC" w14:textId="77777777" w:rsidR="00CA4F2F" w:rsidRDefault="00203421">
            <w:pPr>
              <w:pStyle w:val="TableBody"/>
              <w:keepNext/>
            </w:pPr>
            <w:hyperlink r:id="rId46">
              <w:r>
                <w:rPr>
                  <w:b/>
                  <w:color w:val="1F5132"/>
                  <w:position w:val="7"/>
                  <w:sz w:val="18"/>
                  <w:szCs w:val="18"/>
                </w:rPr>
                <w:t>20</w:t>
              </w:r>
            </w:hyperlink>
            <w:r>
              <w:t xml:space="preserve"> </w:t>
            </w:r>
            <w:proofErr w:type="spellStart"/>
            <w:r>
              <w:t>DeepMol</w:t>
            </w:r>
            <w:proofErr w:type="spellEnd"/>
          </w:p>
        </w:tc>
        <w:tc>
          <w:tcPr>
            <w:tcW w:w="2340" w:type="dxa"/>
          </w:tcPr>
          <w:p w14:paraId="17AD153F" w14:textId="77777777" w:rsidR="00CA4F2F" w:rsidRDefault="00203421">
            <w:pPr>
              <w:pStyle w:val="TableBody"/>
              <w:keepNext/>
            </w:pPr>
            <w:r>
              <w:t>AutoML comparator</w:t>
            </w:r>
          </w:p>
        </w:tc>
        <w:tc>
          <w:tcPr>
            <w:tcW w:w="2340" w:type="dxa"/>
          </w:tcPr>
          <w:p w14:paraId="6614C01E" w14:textId="77777777" w:rsidR="00CA4F2F" w:rsidRDefault="00203421">
            <w:pPr>
              <w:pStyle w:val="TableBody"/>
              <w:keepNext/>
            </w:pPr>
            <w:r>
              <w:rPr>
                <w:b/>
              </w:rPr>
              <w:t>Accurate:</w:t>
            </w:r>
            <w:r>
              <w:t xml:space="preserve"> </w:t>
            </w:r>
            <w:r>
              <w:rPr>
                <w:i/>
              </w:rPr>
              <w:t xml:space="preserve">J. </w:t>
            </w:r>
            <w:proofErr w:type="spellStart"/>
            <w:r>
              <w:rPr>
                <w:i/>
              </w:rPr>
              <w:t>Cheminform</w:t>
            </w:r>
            <w:proofErr w:type="spellEnd"/>
            <w:r>
              <w:rPr>
                <w:i/>
              </w:rPr>
              <w:t>.</w:t>
            </w:r>
            <w:r>
              <w:t xml:space="preserve"> 2024;16(1):136. </w:t>
            </w:r>
            <w:hyperlink r:id="rId47">
              <w:r>
                <w:rPr>
                  <w:b/>
                  <w:color w:val="1F5132"/>
                  <w:position w:val="7"/>
                  <w:sz w:val="18"/>
                  <w:szCs w:val="18"/>
                </w:rPr>
                <w:t>8</w:t>
              </w:r>
            </w:hyperlink>
          </w:p>
        </w:tc>
        <w:tc>
          <w:tcPr>
            <w:tcW w:w="2340" w:type="dxa"/>
          </w:tcPr>
          <w:p w14:paraId="451B1B83" w14:textId="77777777" w:rsidR="00CA4F2F" w:rsidRDefault="00203421">
            <w:pPr>
              <w:pStyle w:val="TableBody"/>
              <w:keepNext/>
            </w:pPr>
            <w:r>
              <w:t>None.</w:t>
            </w:r>
          </w:p>
        </w:tc>
      </w:tr>
      <w:tr w:rsidR="00CA4F2F" w14:paraId="2FC2C86B" w14:textId="77777777">
        <w:trPr>
          <w:cantSplit/>
        </w:trPr>
        <w:tc>
          <w:tcPr>
            <w:tcW w:w="2340" w:type="dxa"/>
          </w:tcPr>
          <w:p w14:paraId="2F8ED039" w14:textId="77777777" w:rsidR="00CA4F2F" w:rsidRDefault="00203421">
            <w:pPr>
              <w:pStyle w:val="TableBody"/>
              <w:keepNext/>
            </w:pPr>
            <w:hyperlink r:id="rId48">
              <w:r>
                <w:rPr>
                  <w:b/>
                  <w:color w:val="1F5132"/>
                  <w:position w:val="7"/>
                  <w:sz w:val="18"/>
                  <w:szCs w:val="18"/>
                </w:rPr>
                <w:t>21</w:t>
              </w:r>
            </w:hyperlink>
            <w:r>
              <w:t xml:space="preserve"> Auto-ADMET</w:t>
            </w:r>
          </w:p>
        </w:tc>
        <w:tc>
          <w:tcPr>
            <w:tcW w:w="2340" w:type="dxa"/>
          </w:tcPr>
          <w:p w14:paraId="14D6F6CC" w14:textId="77777777" w:rsidR="00CA4F2F" w:rsidRDefault="00203421">
            <w:pPr>
              <w:pStyle w:val="TableBody"/>
              <w:keepNext/>
            </w:pPr>
            <w:r>
              <w:t>AutoML comparator</w:t>
            </w:r>
          </w:p>
        </w:tc>
        <w:tc>
          <w:tcPr>
            <w:tcW w:w="2340" w:type="dxa"/>
          </w:tcPr>
          <w:p w14:paraId="15C6ACA8" w14:textId="77777777" w:rsidR="00CA4F2F" w:rsidRDefault="00203421">
            <w:pPr>
              <w:pStyle w:val="TableBody"/>
              <w:keepNext/>
            </w:pPr>
            <w:r>
              <w:rPr>
                <w:b/>
              </w:rPr>
              <w:t>Accurate:</w:t>
            </w:r>
            <w:r>
              <w:t xml:space="preserve"> arXiv:2502.16378, 2025. </w:t>
            </w:r>
            <w:hyperlink r:id="rId49">
              <w:r>
                <w:rPr>
                  <w:b/>
                  <w:color w:val="1F5132"/>
                  <w:position w:val="7"/>
                  <w:sz w:val="18"/>
                  <w:szCs w:val="18"/>
                </w:rPr>
                <w:t>20</w:t>
              </w:r>
            </w:hyperlink>
          </w:p>
        </w:tc>
        <w:tc>
          <w:tcPr>
            <w:tcW w:w="2340" w:type="dxa"/>
          </w:tcPr>
          <w:p w14:paraId="01DA5385" w14:textId="77777777" w:rsidR="00CA4F2F" w:rsidRDefault="00203421">
            <w:pPr>
              <w:pStyle w:val="TableBody"/>
              <w:keepNext/>
            </w:pPr>
            <w:r>
              <w:t>Check for peer-reviewed version.</w:t>
            </w:r>
          </w:p>
        </w:tc>
      </w:tr>
      <w:tr w:rsidR="00CA4F2F" w14:paraId="2FA3CCA8" w14:textId="77777777">
        <w:trPr>
          <w:cantSplit/>
        </w:trPr>
        <w:tc>
          <w:tcPr>
            <w:tcW w:w="2340" w:type="dxa"/>
          </w:tcPr>
          <w:p w14:paraId="5E8F8611" w14:textId="77777777" w:rsidR="00CA4F2F" w:rsidRDefault="00203421">
            <w:pPr>
              <w:pStyle w:val="TableBody"/>
              <w:keepNext/>
            </w:pPr>
            <w:hyperlink r:id="rId50">
              <w:r>
                <w:rPr>
                  <w:b/>
                  <w:color w:val="1F5132"/>
                  <w:position w:val="7"/>
                  <w:sz w:val="18"/>
                  <w:szCs w:val="18"/>
                </w:rPr>
                <w:t>22</w:t>
              </w:r>
            </w:hyperlink>
            <w:r>
              <w:t xml:space="preserve"> </w:t>
            </w:r>
            <w:proofErr w:type="spellStart"/>
            <w:r>
              <w:t>ChemXploreML</w:t>
            </w:r>
            <w:proofErr w:type="spellEnd"/>
          </w:p>
        </w:tc>
        <w:tc>
          <w:tcPr>
            <w:tcW w:w="2340" w:type="dxa"/>
          </w:tcPr>
          <w:p w14:paraId="431718CF" w14:textId="77777777" w:rsidR="00CA4F2F" w:rsidRDefault="00203421">
            <w:pPr>
              <w:pStyle w:val="TableBody"/>
              <w:keepNext/>
            </w:pPr>
            <w:r>
              <w:t>code-light comparator</w:t>
            </w:r>
          </w:p>
        </w:tc>
        <w:tc>
          <w:tcPr>
            <w:tcW w:w="2340" w:type="dxa"/>
          </w:tcPr>
          <w:p w14:paraId="681FA6D9" w14:textId="77777777" w:rsidR="00CA4F2F" w:rsidRDefault="00203421">
            <w:pPr>
              <w:pStyle w:val="TableBody"/>
              <w:keepNext/>
            </w:pPr>
            <w:r>
              <w:rPr>
                <w:rFonts w:ascii="Courier New" w:hAnsi="Courier New"/>
                <w:b/>
                <w:sz w:val="18"/>
                <w:shd w:val="clear" w:color="auto" w:fill="F2F1F0"/>
              </w:rPr>
              <w:t>[VERIFY]</w:t>
            </w:r>
            <w:r>
              <w:rPr>
                <w:b/>
              </w:rPr>
              <w:t xml:space="preserve"> RESOLVED — now published:</w:t>
            </w:r>
            <w:r>
              <w:t xml:space="preserve"> </w:t>
            </w:r>
            <w:r>
              <w:rPr>
                <w:i/>
              </w:rPr>
              <w:t xml:space="preserve">J. Chem. Inf. </w:t>
            </w:r>
            <w:r w:rsidRPr="008B28B5">
              <w:rPr>
                <w:i/>
                <w:lang w:val="es-ES"/>
              </w:rPr>
              <w:t>Model.</w:t>
            </w:r>
            <w:r w:rsidRPr="008B28B5">
              <w:rPr>
                <w:lang w:val="es-ES"/>
              </w:rPr>
              <w:t xml:space="preserve"> 2025;65(11):5424–5437, doi:10.1021/acs.jcim.5c00516. </w:t>
            </w:r>
            <w:r>
              <w:fldChar w:fldCharType="begin"/>
            </w:r>
            <w:r w:rsidRPr="008B28B5">
              <w:rPr>
                <w:lang w:val="es-ES"/>
              </w:rPr>
              <w:instrText>HYPERLINK "https://pubs.acs.org/doi/abs/10.1021/acs.jcim.5c00516" \h</w:instrText>
            </w:r>
            <w:r>
              <w:fldChar w:fldCharType="separate"/>
            </w:r>
            <w:r>
              <w:rPr>
                <w:b/>
                <w:color w:val="1F5132"/>
                <w:position w:val="7"/>
                <w:sz w:val="18"/>
                <w:szCs w:val="18"/>
              </w:rPr>
              <w:t>21</w:t>
            </w:r>
            <w:r>
              <w:fldChar w:fldCharType="end"/>
            </w:r>
            <w:r>
              <w:t xml:space="preserve"> Author name should be "Aravindh Nivas Marimuthu" (proof inserts "Perumal").</w:t>
            </w:r>
          </w:p>
        </w:tc>
        <w:tc>
          <w:tcPr>
            <w:tcW w:w="2340" w:type="dxa"/>
          </w:tcPr>
          <w:p w14:paraId="2150B105" w14:textId="77777777" w:rsidR="00CA4F2F" w:rsidRDefault="00203421">
            <w:pPr>
              <w:pStyle w:val="TableBody"/>
              <w:keepNext/>
            </w:pPr>
            <w:r>
              <w:t>Update venue; fix name.</w:t>
            </w:r>
          </w:p>
        </w:tc>
      </w:tr>
      <w:tr w:rsidR="00CA4F2F" w14:paraId="210F2E01" w14:textId="77777777">
        <w:trPr>
          <w:cantSplit/>
        </w:trPr>
        <w:tc>
          <w:tcPr>
            <w:tcW w:w="2340" w:type="dxa"/>
          </w:tcPr>
          <w:p w14:paraId="39EF1994" w14:textId="77777777" w:rsidR="00CA4F2F" w:rsidRDefault="00203421">
            <w:pPr>
              <w:pStyle w:val="TableBody"/>
              <w:keepNext/>
            </w:pPr>
            <w:r>
              <w:rPr>
                <w:b/>
                <w:color w:val="1F5132"/>
                <w:position w:val="7"/>
                <w:sz w:val="18"/>
                <w:szCs w:val="18"/>
              </w:rPr>
              <w:t>37</w:t>
            </w:r>
            <w:r>
              <w:t xml:space="preserve"> </w:t>
            </w:r>
            <w:proofErr w:type="spellStart"/>
            <w:r>
              <w:t>Chemprop</w:t>
            </w:r>
            <w:proofErr w:type="spellEnd"/>
            <w:r>
              <w:t xml:space="preserve"> (Yang, 2019)</w:t>
            </w:r>
          </w:p>
        </w:tc>
        <w:tc>
          <w:tcPr>
            <w:tcW w:w="2340" w:type="dxa"/>
          </w:tcPr>
          <w:p w14:paraId="24B526B9" w14:textId="77777777" w:rsidR="00CA4F2F" w:rsidRDefault="00203421">
            <w:pPr>
              <w:pStyle w:val="TableBody"/>
              <w:keepNext/>
            </w:pPr>
            <w:r>
              <w:t>GNN baseline</w:t>
            </w:r>
          </w:p>
        </w:tc>
        <w:tc>
          <w:tcPr>
            <w:tcW w:w="2340" w:type="dxa"/>
          </w:tcPr>
          <w:p w14:paraId="549B4685" w14:textId="77777777" w:rsidR="00CA4F2F" w:rsidRDefault="00203421">
            <w:pPr>
              <w:pStyle w:val="TableBody"/>
              <w:keepNext/>
            </w:pPr>
            <w:r>
              <w:t xml:space="preserve">Correct for the 2019 D-MPNN; but </w:t>
            </w:r>
            <w:proofErr w:type="spellStart"/>
            <w:r>
              <w:rPr>
                <w:b/>
              </w:rPr>
              <w:t>Chemprop</w:t>
            </w:r>
            <w:proofErr w:type="spellEnd"/>
            <w:r>
              <w:rPr>
                <w:b/>
              </w:rPr>
              <w:t xml:space="preserve"> v2</w:t>
            </w:r>
            <w:r>
              <w:t xml:space="preserve"> is run and has its own paper.</w:t>
            </w:r>
          </w:p>
        </w:tc>
        <w:tc>
          <w:tcPr>
            <w:tcW w:w="2340" w:type="dxa"/>
          </w:tcPr>
          <w:p w14:paraId="63ED48D0" w14:textId="77777777" w:rsidR="00CA4F2F" w:rsidRDefault="00203421">
            <w:pPr>
              <w:pStyle w:val="TableBody"/>
              <w:keepNext/>
            </w:pPr>
            <w:r>
              <w:t xml:space="preserve">Add </w:t>
            </w:r>
            <w:proofErr w:type="spellStart"/>
            <w:r>
              <w:t>Chemprop</w:t>
            </w:r>
            <w:proofErr w:type="spellEnd"/>
            <w:r>
              <w:t xml:space="preserve"> v2 (see §A(c)).</w:t>
            </w:r>
          </w:p>
        </w:tc>
      </w:tr>
      <w:tr w:rsidR="00CA4F2F" w14:paraId="63F4B89C" w14:textId="77777777">
        <w:trPr>
          <w:cantSplit/>
        </w:trPr>
        <w:tc>
          <w:tcPr>
            <w:tcW w:w="2340" w:type="dxa"/>
          </w:tcPr>
          <w:p w14:paraId="5E64990E" w14:textId="77777777" w:rsidR="00CA4F2F" w:rsidRDefault="00203421">
            <w:pPr>
              <w:pStyle w:val="TableBody"/>
              <w:keepNext/>
            </w:pPr>
            <w:r>
              <w:rPr>
                <w:b/>
                <w:color w:val="1F5132"/>
                <w:position w:val="7"/>
                <w:sz w:val="18"/>
                <w:szCs w:val="18"/>
              </w:rPr>
              <w:t>40</w:t>
            </w:r>
            <w:r>
              <w:t xml:space="preserve"> Hsu, Chung &amp; Kristal (2006)</w:t>
            </w:r>
          </w:p>
        </w:tc>
        <w:tc>
          <w:tcPr>
            <w:tcW w:w="2340" w:type="dxa"/>
          </w:tcPr>
          <w:p w14:paraId="54508CDF" w14:textId="77777777" w:rsidR="00CA4F2F" w:rsidRDefault="00203421">
            <w:pPr>
              <w:pStyle w:val="TableBody"/>
              <w:keepNext/>
            </w:pPr>
            <w:r>
              <w:t>CFA method</w:t>
            </w:r>
          </w:p>
        </w:tc>
        <w:tc>
          <w:tcPr>
            <w:tcW w:w="2340" w:type="dxa"/>
          </w:tcPr>
          <w:p w14:paraId="3139183C" w14:textId="77777777" w:rsidR="00CA4F2F" w:rsidRDefault="00203421">
            <w:pPr>
              <w:pStyle w:val="TableBody"/>
              <w:keepNext/>
            </w:pPr>
            <w:r>
              <w:t xml:space="preserve">Real chapter; </w:t>
            </w:r>
            <w:r>
              <w:rPr>
                <w:rFonts w:ascii="Courier New" w:hAnsi="Courier New"/>
                <w:b/>
                <w:sz w:val="18"/>
                <w:shd w:val="clear" w:color="auto" w:fill="F2F1F0"/>
              </w:rPr>
              <w:t>[VERIFY]</w:t>
            </w:r>
            <w:r>
              <w:rPr>
                <w:b/>
              </w:rPr>
              <w:t xml:space="preserve"> pagination still unresolved</w:t>
            </w:r>
            <w:r>
              <w:t xml:space="preserve"> (could not confirm pp. 32–62).</w:t>
            </w:r>
          </w:p>
        </w:tc>
        <w:tc>
          <w:tcPr>
            <w:tcW w:w="2340" w:type="dxa"/>
          </w:tcPr>
          <w:p w14:paraId="76638BBD" w14:textId="77777777" w:rsidR="00CA4F2F" w:rsidRDefault="00203421">
            <w:pPr>
              <w:pStyle w:val="TableBody"/>
              <w:keepNext/>
            </w:pPr>
            <w:r>
              <w:t>Verify pagination.</w:t>
            </w:r>
          </w:p>
        </w:tc>
      </w:tr>
      <w:tr w:rsidR="00CA4F2F" w14:paraId="30FA25DF" w14:textId="77777777">
        <w:trPr>
          <w:cantSplit/>
        </w:trPr>
        <w:tc>
          <w:tcPr>
            <w:tcW w:w="2340" w:type="dxa"/>
          </w:tcPr>
          <w:p w14:paraId="3E5B28B1" w14:textId="77777777" w:rsidR="00CA4F2F" w:rsidRDefault="00203421">
            <w:pPr>
              <w:pStyle w:val="TableBody"/>
            </w:pPr>
            <w:r>
              <w:rPr>
                <w:b/>
              </w:rPr>
              <w:t>Polaris</w:t>
            </w:r>
          </w:p>
        </w:tc>
        <w:tc>
          <w:tcPr>
            <w:tcW w:w="2340" w:type="dxa"/>
          </w:tcPr>
          <w:p w14:paraId="4A34D6FB" w14:textId="77777777" w:rsidR="00CA4F2F" w:rsidRDefault="00203421">
            <w:pPr>
              <w:pStyle w:val="TableBody"/>
            </w:pPr>
            <w:r>
              <w:t>data source</w:t>
            </w:r>
          </w:p>
        </w:tc>
        <w:tc>
          <w:tcPr>
            <w:tcW w:w="2340" w:type="dxa"/>
          </w:tcPr>
          <w:p w14:paraId="68283C5D" w14:textId="1E13A74C" w:rsidR="00CA4F2F" w:rsidRDefault="00203421">
            <w:pPr>
              <w:pStyle w:val="TableBody"/>
            </w:pPr>
            <w:r>
              <w:rPr>
                <w:b/>
              </w:rPr>
              <w:t xml:space="preserve">Mentioned but not formally </w:t>
            </w:r>
            <w:proofErr w:type="gramStart"/>
            <w:r>
              <w:rPr>
                <w:b/>
              </w:rPr>
              <w:t>cited</w:t>
            </w:r>
            <w:r>
              <w:t xml:space="preserve"> — "</w:t>
            </w:r>
            <w:proofErr w:type="gramEnd"/>
            <w:r>
              <w:t xml:space="preserve">Polaris has emphasized immutable, standardized benchmarks as a route to reproducible comparison." </w:t>
            </w:r>
            <w:hyperlink r:id="rId51" w:anchor="pages=9-10">
              <w:r>
                <w:rPr>
                  <w:b/>
                  <w:color w:val="1F5132"/>
                  <w:position w:val="7"/>
                  <w:sz w:val="18"/>
                  <w:szCs w:val="18"/>
                </w:rPr>
                <w:t>6</w:t>
              </w:r>
            </w:hyperlink>
          </w:p>
        </w:tc>
        <w:tc>
          <w:tcPr>
            <w:tcW w:w="2340" w:type="dxa"/>
          </w:tcPr>
          <w:p w14:paraId="6AA0AC2D" w14:textId="77777777" w:rsidR="00CA4F2F" w:rsidRDefault="00203421">
            <w:pPr>
              <w:pStyle w:val="TableBody"/>
            </w:pPr>
            <w:r>
              <w:t>Add citation (see §A(c)).</w:t>
            </w:r>
          </w:p>
        </w:tc>
      </w:tr>
    </w:tbl>
    <w:p w14:paraId="078BA898" w14:textId="77777777" w:rsidR="00CA4F2F" w:rsidRDefault="00CA4F2F">
      <w:pPr>
        <w:spacing w:after="120" w:line="20" w:lineRule="exact"/>
      </w:pPr>
    </w:p>
    <w:p w14:paraId="13CF74C3" w14:textId="77777777" w:rsidR="00CA4F2F" w:rsidRDefault="00203421">
      <w:r>
        <w:rPr>
          <w:b/>
        </w:rPr>
        <w:t>Bottom line:</w:t>
      </w:r>
      <w:r>
        <w:t xml:space="preserve"> citation </w:t>
      </w:r>
      <w:r>
        <w:rPr>
          <w:i/>
        </w:rPr>
        <w:t>accuracy</w:t>
      </w:r>
      <w:r>
        <w:t xml:space="preserve"> is high — I found no fabricated or misattributed references. The remaining issues are editorial: unresolved </w:t>
      </w:r>
      <w:r>
        <w:rPr>
          <w:rFonts w:ascii="Courier New" w:hAnsi="Courier New"/>
          <w:sz w:val="18"/>
          <w:shd w:val="clear" w:color="auto" w:fill="F2F1F0"/>
        </w:rPr>
        <w:t>[VERIFY]</w:t>
      </w:r>
      <w:r>
        <w:t xml:space="preserve"> tags, two preprints now peer-reviewed, two model-version mismatches, one author-name error, a possible author-name issue in </w:t>
      </w:r>
      <w:hyperlink r:id="rId52">
        <w:r>
          <w:rPr>
            <w:b/>
            <w:color w:val="1F5132"/>
            <w:position w:val="7"/>
            <w:sz w:val="18"/>
            <w:szCs w:val="18"/>
          </w:rPr>
          <w:t>1</w:t>
        </w:r>
      </w:hyperlink>
      <w:r>
        <w:t>, and an uncited Polaris.</w:t>
      </w:r>
    </w:p>
    <w:p w14:paraId="18BF1065" w14:textId="77777777" w:rsidR="00CA4F2F" w:rsidRDefault="00203421">
      <w:pPr>
        <w:pStyle w:val="Heading3"/>
      </w:pPr>
      <w:r>
        <w:t>6. Figures</w:t>
      </w:r>
    </w:p>
    <w:p w14:paraId="74E4A4F7" w14:textId="77777777" w:rsidR="00CA4F2F" w:rsidRDefault="00203421">
      <w:r>
        <w:t xml:space="preserve">Assessed from captions only. Fig 1 (workflow) is clear; Fig 2 (wins) communicates the thesis well; </w:t>
      </w:r>
      <w:r>
        <w:rPr>
          <w:b/>
        </w:rPr>
        <w:t>Fig 3</w:t>
      </w:r>
      <w:r>
        <w:t xml:space="preserve"> (test- vs CV-selected ranks) is the most important figure and its ~37-row panel (b) risks density at print size; Fig 4 (feature enrichment) uses appropriate log2 encoding; Fig 5 (log–log cost vs gap) needs a </w:t>
      </w:r>
      <w:proofErr w:type="spellStart"/>
      <w:r>
        <w:t>colour</w:t>
      </w:r>
      <w:proofErr w:type="spellEnd"/>
      <w:r>
        <w:t xml:space="preserve">-blind-safe marker legend; </w:t>
      </w:r>
      <w:r>
        <w:rPr>
          <w:b/>
        </w:rPr>
        <w:t>Fig 6</w:t>
      </w:r>
      <w:r>
        <w:t xml:space="preserve"> (44×7 heatmap) is the highest legibility risk. </w:t>
      </w:r>
      <w:r>
        <w:rPr>
          <w:i/>
        </w:rPr>
        <w:t>Required at revision:</w:t>
      </w:r>
      <w:r>
        <w:t xml:space="preserve"> confirm all figures are vector or ≥300 </w:t>
      </w:r>
      <w:proofErr w:type="gramStart"/>
      <w:r>
        <w:t>dpi</w:t>
      </w:r>
      <w:proofErr w:type="gramEnd"/>
      <w:r>
        <w:t xml:space="preserve">, fonts embedded, palettes </w:t>
      </w:r>
      <w:proofErr w:type="spellStart"/>
      <w:r>
        <w:t>colour</w:t>
      </w:r>
      <w:proofErr w:type="spellEnd"/>
      <w:r>
        <w:t>-blind safe. I cannot certify figure quality from this proof.</w:t>
      </w:r>
    </w:p>
    <w:p w14:paraId="0299935E" w14:textId="77777777" w:rsidR="00CA4F2F" w:rsidRDefault="00203421">
      <w:pPr>
        <w:pStyle w:val="Heading3"/>
      </w:pPr>
      <w:r>
        <w:lastRenderedPageBreak/>
        <w:t>7. Reproducibility, data and code</w:t>
      </w:r>
    </w:p>
    <w:p w14:paraId="58B72589" w14:textId="1D1E9175" w:rsidR="00CA4F2F" w:rsidRDefault="00203421">
      <w:r>
        <w:t xml:space="preserve">Strong. The Availability section gives the project home page, platform independence, Python 3.11, dependencies, and an MIT license with no non-academic restrictions. </w:t>
      </w:r>
      <w:hyperlink r:id="rId53" w:anchor="pages=9-10">
        <w:r>
          <w:rPr>
            <w:b/>
            <w:color w:val="1F5132"/>
            <w:position w:val="7"/>
            <w:sz w:val="18"/>
            <w:szCs w:val="18"/>
          </w:rPr>
          <w:t>6</w:t>
        </w:r>
      </w:hyperlink>
      <w:r>
        <w:t xml:space="preserve"> Leakage controls are concrete: a leak-free pre-filter removed degenerate/redundant columns using training-partition statistics applied identically to the held-out set. </w:t>
      </w:r>
      <w:hyperlink r:id="rId54" w:anchor="pages=9-10">
        <w:r>
          <w:rPr>
            <w:b/>
            <w:color w:val="1F5132"/>
            <w:position w:val="7"/>
            <w:sz w:val="18"/>
            <w:szCs w:val="18"/>
          </w:rPr>
          <w:t>6</w:t>
        </w:r>
      </w:hyperlink>
      <w:r>
        <w:t xml:space="preserve"> The hardware test supports accessibility: across 37 comparable datasets the best model changed the primary metric by a median of −0.19% between an A100 run and a consumer RTX 4060 laptop run — the two configurations are indistinguishable in accuracy at this resolution. </w:t>
      </w:r>
      <w:hyperlink r:id="rId55" w:anchor="pages=9-10">
        <w:r>
          <w:rPr>
            <w:b/>
            <w:color w:val="1F5132"/>
            <w:position w:val="7"/>
            <w:sz w:val="18"/>
            <w:szCs w:val="18"/>
          </w:rPr>
          <w:t>6</w:t>
        </w:r>
      </w:hyperlink>
      <w:r>
        <w:rPr>
          <w:i/>
        </w:rPr>
        <w:t>Required:</w:t>
      </w:r>
      <w:r>
        <w:t xml:space="preserve"> a formal </w:t>
      </w:r>
      <w:r>
        <w:rPr>
          <w:b/>
        </w:rPr>
        <w:t>Availability of data and materials</w:t>
      </w:r>
      <w:r>
        <w:t xml:space="preserve"> statement with a </w:t>
      </w:r>
      <w:r>
        <w:rPr>
          <w:b/>
        </w:rPr>
        <w:t>DOI-minted archive</w:t>
      </w:r>
      <w:r>
        <w:t xml:space="preserve"> (the text refers to "the archived release described under Availability of data and materials" </w:t>
      </w:r>
      <w:hyperlink r:id="rId56" w:anchor="pages=9-10">
        <w:r>
          <w:rPr>
            <w:b/>
            <w:color w:val="1F5132"/>
            <w:position w:val="7"/>
            <w:sz w:val="18"/>
            <w:szCs w:val="18"/>
          </w:rPr>
          <w:t>6</w:t>
        </w:r>
      </w:hyperlink>
      <w:r>
        <w:t xml:space="preserve"> but no DOI is given); pinned package versions and commit hash; machine-readable S1/S4 tables.</w:t>
      </w:r>
    </w:p>
    <w:p w14:paraId="0527CEF1" w14:textId="77777777" w:rsidR="00CA4F2F" w:rsidRDefault="00203421">
      <w:pPr>
        <w:pStyle w:val="Heading3"/>
      </w:pPr>
      <w:r>
        <w:t>8. Minor concerns</w:t>
      </w:r>
    </w:p>
    <w:p w14:paraId="633AB9AF" w14:textId="36C8FACE" w:rsidR="00CA4F2F" w:rsidRDefault="00203421">
      <w:pPr>
        <w:pStyle w:val="ListParagraph"/>
        <w:tabs>
          <w:tab w:val="left" w:pos="720"/>
        </w:tabs>
        <w:ind w:left="720" w:hanging="360"/>
      </w:pPr>
      <w:r>
        <w:t>•</w:t>
      </w:r>
      <w:r>
        <w:tab/>
      </w:r>
      <w:r>
        <w:rPr>
          <w:b/>
        </w:rPr>
        <w:t>Title vs. analysis mismatch:</w:t>
      </w:r>
      <w:r>
        <w:t xml:space="preserve"> the title says "45," but of 45 datasets attempted, 43 completed and 44 were </w:t>
      </w:r>
      <w:proofErr w:type="spellStart"/>
      <w:r>
        <w:t>analysed</w:t>
      </w:r>
      <w:proofErr w:type="spellEnd"/>
      <w:r>
        <w:t xml:space="preserve">. </w:t>
      </w:r>
      <w:hyperlink r:id="rId57" w:anchor="pages=9-10">
        <w:r>
          <w:rPr>
            <w:b/>
            <w:color w:val="1F5132"/>
            <w:position w:val="7"/>
            <w:sz w:val="18"/>
            <w:szCs w:val="18"/>
          </w:rPr>
          <w:t>6</w:t>
        </w:r>
      </w:hyperlink>
      <w:r>
        <w:t xml:space="preserve"> Change the title to </w:t>
      </w:r>
      <w:r>
        <w:rPr>
          <w:b/>
        </w:rPr>
        <w:t>44</w:t>
      </w:r>
      <w:r>
        <w:t xml:space="preserve"> and make the abstract consistent.</w:t>
      </w:r>
    </w:p>
    <w:p w14:paraId="5EF24903" w14:textId="77777777" w:rsidR="00CA4F2F" w:rsidRDefault="00203421">
      <w:pPr>
        <w:pStyle w:val="ListParagraph"/>
        <w:tabs>
          <w:tab w:val="left" w:pos="720"/>
        </w:tabs>
        <w:ind w:left="720" w:hanging="360"/>
      </w:pPr>
      <w:r>
        <w:t>•</w:t>
      </w:r>
      <w:r>
        <w:tab/>
        <w:t>Remove the "PROOF BUILD" watermark and any scaffolding.</w:t>
      </w:r>
    </w:p>
    <w:p w14:paraId="0FE7DB26" w14:textId="77777777" w:rsidR="00CA4F2F" w:rsidRDefault="00203421">
      <w:pPr>
        <w:pStyle w:val="ListParagraph"/>
        <w:tabs>
          <w:tab w:val="left" w:pos="720"/>
        </w:tabs>
        <w:ind w:left="720" w:hanging="360"/>
      </w:pPr>
      <w:r>
        <w:t>•</w:t>
      </w:r>
      <w:r>
        <w:tab/>
        <w:t xml:space="preserve">Add a </w:t>
      </w:r>
      <w:r>
        <w:rPr>
          <w:b/>
        </w:rPr>
        <w:t>structured abstract + keywords</w:t>
      </w:r>
      <w:r>
        <w:t xml:space="preserve"> (required by </w:t>
      </w:r>
      <w:r>
        <w:rPr>
          <w:i/>
        </w:rPr>
        <w:t xml:space="preserve">J. </w:t>
      </w:r>
      <w:proofErr w:type="spellStart"/>
      <w:r>
        <w:rPr>
          <w:i/>
        </w:rPr>
        <w:t>Cheminform</w:t>
      </w:r>
      <w:proofErr w:type="spellEnd"/>
      <w:r>
        <w:t>).</w:t>
      </w:r>
    </w:p>
    <w:p w14:paraId="4CCEF93A" w14:textId="77777777" w:rsidR="00CA4F2F" w:rsidRDefault="00203421">
      <w:pPr>
        <w:pStyle w:val="ListParagraph"/>
        <w:tabs>
          <w:tab w:val="left" w:pos="720"/>
        </w:tabs>
        <w:ind w:left="720" w:hanging="360"/>
      </w:pPr>
      <w:r>
        <w:t>•</w:t>
      </w:r>
      <w:r>
        <w:tab/>
      </w:r>
      <w:r>
        <w:t>Add BMC declaration blocks: Competing interests (important for a single-author self-benchmark), Funding, Authors' contributions, Ethics.</w:t>
      </w:r>
    </w:p>
    <w:p w14:paraId="3B3BF74B" w14:textId="3BA94FF1" w:rsidR="00CA4F2F" w:rsidRDefault="00203421">
      <w:pPr>
        <w:pStyle w:val="ListParagraph"/>
        <w:tabs>
          <w:tab w:val="left" w:pos="720"/>
        </w:tabs>
        <w:ind w:left="720" w:hanging="360"/>
      </w:pPr>
      <w:r>
        <w:t>•</w:t>
      </w:r>
      <w:r>
        <w:tab/>
      </w:r>
      <w:proofErr w:type="spellStart"/>
      <w:r>
        <w:rPr>
          <w:b/>
        </w:rPr>
        <w:t>TabPFN</w:t>
      </w:r>
      <w:proofErr w:type="spellEnd"/>
      <w:r>
        <w:t xml:space="preserve"> is listed but was disabled in this run, so the tabular foundation model is absent from the comparison entirely </w:t>
      </w:r>
      <w:hyperlink r:id="rId58" w:anchor="pages=9-10">
        <w:r>
          <w:rPr>
            <w:b/>
            <w:color w:val="1F5132"/>
            <w:position w:val="7"/>
            <w:sz w:val="18"/>
            <w:szCs w:val="18"/>
          </w:rPr>
          <w:t>6</w:t>
        </w:r>
      </w:hyperlink>
      <w:r>
        <w:t xml:space="preserve"> — note this in the model-table caption.</w:t>
      </w:r>
    </w:p>
    <w:p w14:paraId="068ACE31" w14:textId="59D82647" w:rsidR="00CA4F2F" w:rsidRDefault="00203421">
      <w:pPr>
        <w:pStyle w:val="ListParagraph"/>
        <w:tabs>
          <w:tab w:val="left" w:pos="720"/>
        </w:tabs>
        <w:ind w:left="720" w:hanging="360"/>
      </w:pPr>
      <w:r>
        <w:t>•</w:t>
      </w:r>
      <w:r>
        <w:tab/>
      </w:r>
      <w:r>
        <w:t xml:space="preserve">Retain the good sparse-reference scrutiny — e.g., the note that the </w:t>
      </w:r>
      <w:proofErr w:type="spellStart"/>
      <w:r>
        <w:t>tdc_ppbr_az</w:t>
      </w:r>
      <w:proofErr w:type="spellEnd"/>
      <w:r>
        <w:t xml:space="preserve"> </w:t>
      </w:r>
      <w:proofErr w:type="gramStart"/>
      <w:r>
        <w:t>top-1</w:t>
      </w:r>
      <w:proofErr w:type="gramEnd"/>
      <w:r>
        <w:t xml:space="preserve"> reference (MAE 0.679) is inconsistent in scale with the rest of that dataset's references and should be disregarded </w:t>
      </w:r>
      <w:hyperlink r:id="rId59" w:anchor="pages=9-10">
        <w:r>
          <w:rPr>
            <w:b/>
            <w:color w:val="1F5132"/>
            <w:position w:val="7"/>
            <w:sz w:val="18"/>
            <w:szCs w:val="18"/>
          </w:rPr>
          <w:t>6</w:t>
        </w:r>
      </w:hyperlink>
      <w:r>
        <w:t xml:space="preserve"> — and apply it to other sparse datasets.</w:t>
      </w:r>
    </w:p>
    <w:p w14:paraId="1614EE64" w14:textId="77777777" w:rsidR="00CA4F2F" w:rsidRDefault="00CA4F2F">
      <w:pPr>
        <w:pBdr>
          <w:bottom w:val="single" w:sz="6" w:space="1" w:color="auto"/>
        </w:pBdr>
      </w:pPr>
    </w:p>
    <w:p w14:paraId="3C0A3BD5" w14:textId="77777777" w:rsidR="00CA4F2F" w:rsidRDefault="00203421">
      <w:pPr>
        <w:pStyle w:val="Heading2"/>
      </w:pPr>
      <w:r>
        <w:t>PART C — Author-Requested Deliverables</w:t>
      </w:r>
    </w:p>
    <w:p w14:paraId="6FA63B7C" w14:textId="77777777" w:rsidR="00CA4F2F" w:rsidRDefault="00203421">
      <w:pPr>
        <w:pStyle w:val="Heading3"/>
      </w:pPr>
      <w:r>
        <w:t>(a) Reworded introduction paragraph (primary attrition sources)</w:t>
      </w:r>
    </w:p>
    <w:p w14:paraId="5744ED78" w14:textId="77777777" w:rsidR="00CA4F2F" w:rsidRDefault="00203421">
      <w:pPr>
        <w:pStyle w:val="Quote"/>
      </w:pPr>
      <w:r>
        <w:t xml:space="preserve">Replace the current opening sentences (which attribute epidemiological statistics to the </w:t>
      </w:r>
      <w:proofErr w:type="spellStart"/>
      <w:r>
        <w:t>ADMETlab</w:t>
      </w:r>
      <w:proofErr w:type="spellEnd"/>
      <w:r>
        <w:t xml:space="preserve"> 3.0 tool paper </w:t>
      </w:r>
      <w:hyperlink r:id="rId60">
        <w:r>
          <w:rPr>
            <w:b/>
            <w:color w:val="1F5132"/>
            <w:position w:val="7"/>
            <w:sz w:val="18"/>
            <w:szCs w:val="18"/>
          </w:rPr>
          <w:t>1</w:t>
        </w:r>
      </w:hyperlink>
      <w:r>
        <w:t xml:space="preserve"> and a supplement review </w:t>
      </w:r>
      <w:hyperlink r:id="rId61">
        <w:r>
          <w:rPr>
            <w:b/>
            <w:color w:val="1F5132"/>
            <w:position w:val="7"/>
            <w:sz w:val="18"/>
            <w:szCs w:val="18"/>
          </w:rPr>
          <w:t>2</w:t>
        </w:r>
      </w:hyperlink>
      <w:r>
        <w:t xml:space="preserve">) with the following, which cites the primary sources and removes the near-verbatim overlap with </w:t>
      </w:r>
      <w:proofErr w:type="spellStart"/>
      <w:r>
        <w:t>ADMETlab</w:t>
      </w:r>
      <w:proofErr w:type="spellEnd"/>
      <w:r>
        <w:t xml:space="preserve"> 3.0's introduction. Reference keys map to the corrected list in §C(b).</w:t>
      </w:r>
    </w:p>
    <w:p w14:paraId="0A570451" w14:textId="77777777" w:rsidR="00CA4F2F" w:rsidRDefault="00203421">
      <w:r>
        <w:rPr>
          <w:i/>
        </w:rPr>
        <w:t>"</w:t>
      </w:r>
      <w:proofErr w:type="spellStart"/>
      <w:r>
        <w:rPr>
          <w:i/>
        </w:rPr>
        <w:t>Unfavourable</w:t>
      </w:r>
      <w:proofErr w:type="spellEnd"/>
      <w:r>
        <w:rPr>
          <w:i/>
        </w:rPr>
        <w:t xml:space="preserve"> absorption, distribution, metabolism, excretion and toxicity (ADMET) properties remain among the most consequential causes of failure in drug development. Approximately 90% of drug candidates that enter clinical testing fail across phases I–III and the subsequent approval process; the dominant causes are lack of clinical efficacy and unmanageable toxicity, with poor drug-like properties — including </w:t>
      </w:r>
      <w:proofErr w:type="spellStart"/>
      <w:r>
        <w:rPr>
          <w:i/>
        </w:rPr>
        <w:t>unfavourable</w:t>
      </w:r>
      <w:proofErr w:type="spellEnd"/>
      <w:r>
        <w:rPr>
          <w:i/>
        </w:rPr>
        <w:t xml:space="preserve"> pharmacokinetics — contributing a smaller but material share [Sun 2022]. The value o</w:t>
      </w:r>
      <w:r>
        <w:rPr>
          <w:i/>
        </w:rPr>
        <w:t xml:space="preserve">f screening such liabilities early is well established: inappropriate pharmacokinetics and bioavailability accounted for roughly 40% of clinical attrition in the early 1990s, </w:t>
      </w:r>
      <w:r>
        <w:rPr>
          <w:i/>
        </w:rPr>
        <w:lastRenderedPageBreak/>
        <w:t>a share that fell to about 10% by 2000 as the industry adopted routine early ADME profiling [Kola &amp; Landis 2004]. Because experimental ADMET assays are slow, costly and difficult to scale to the growing number of synthesized and virtual compounds, in silico prediction of ADMET endpoints from chemical structure has become an indispensab</w:t>
      </w:r>
      <w:r>
        <w:rPr>
          <w:i/>
        </w:rPr>
        <w:t>le complement to laboratory screening [Komura 2023]."</w:t>
      </w:r>
    </w:p>
    <w:p w14:paraId="474D443C" w14:textId="77777777" w:rsidR="00CA4F2F" w:rsidRDefault="00203421">
      <w:r>
        <w:rPr>
          <w:b/>
        </w:rPr>
        <w:t>Provenance of the numbers used</w:t>
      </w:r>
      <w:r>
        <w:t xml:space="preserve"> (so you can defend each figure to a reviewer):</w:t>
      </w:r>
    </w:p>
    <w:p w14:paraId="7A3F7D19" w14:textId="77777777" w:rsidR="00CA4F2F" w:rsidRDefault="00203421">
      <w:pPr>
        <w:pStyle w:val="ListParagraph"/>
        <w:tabs>
          <w:tab w:val="left" w:pos="720"/>
        </w:tabs>
        <w:ind w:left="720" w:hanging="360"/>
      </w:pPr>
      <w:r>
        <w:t>•</w:t>
      </w:r>
      <w:r>
        <w:tab/>
        <w:t xml:space="preserve">"90% of clinical drug developments have failed during clinical phase I, II, and III clinical studies and drug approval due to four possible reasons: lack of clinical efficacy, unmanageable toxicity, poor drug-like properties, and lack of commercial </w:t>
      </w:r>
      <w:proofErr w:type="gramStart"/>
      <w:r>
        <w:t>needs" —</w:t>
      </w:r>
      <w:proofErr w:type="gramEnd"/>
      <w:r>
        <w:t xml:space="preserve"> Sun et al., </w:t>
      </w:r>
      <w:r>
        <w:rPr>
          <w:i/>
        </w:rPr>
        <w:t>Acta Pharm Sin B</w:t>
      </w:r>
      <w:r>
        <w:t xml:space="preserve"> 2022. </w:t>
      </w:r>
      <w:hyperlink r:id="rId62">
        <w:r>
          <w:rPr>
            <w:b/>
            <w:color w:val="1F5132"/>
            <w:position w:val="7"/>
            <w:sz w:val="18"/>
            <w:szCs w:val="18"/>
          </w:rPr>
          <w:t>22</w:t>
        </w:r>
      </w:hyperlink>
      <w:r>
        <w:t xml:space="preserve"> The cause breakdown (lack of efficacy ~40–50%, toxicity ~30%, poor drug-like ~10–15%) is stated in the same paper. "Poor drug-like properties contributed to the 30%–40% drug development failures in the 1990s; but they only account for 10%–15% of drug development failures today." </w:t>
      </w:r>
      <w:hyperlink r:id="rId63">
        <w:r>
          <w:rPr>
            <w:b/>
            <w:color w:val="1F5132"/>
            <w:position w:val="7"/>
            <w:sz w:val="18"/>
            <w:szCs w:val="18"/>
          </w:rPr>
          <w:t>22</w:t>
        </w:r>
      </w:hyperlink>
    </w:p>
    <w:p w14:paraId="70AF16F9" w14:textId="77777777" w:rsidR="00CA4F2F" w:rsidRDefault="00203421">
      <w:pPr>
        <w:pStyle w:val="ListParagraph"/>
        <w:tabs>
          <w:tab w:val="left" w:pos="720"/>
        </w:tabs>
        <w:ind w:left="720" w:hanging="360"/>
      </w:pPr>
      <w:r>
        <w:t>•</w:t>
      </w:r>
      <w:r>
        <w:tab/>
      </w:r>
      <w:r>
        <w:t xml:space="preserve">The 1991→2000 </w:t>
      </w:r>
      <w:proofErr w:type="gramStart"/>
      <w:r>
        <w:t>pharmacokinetic-attrition</w:t>
      </w:r>
      <w:proofErr w:type="gramEnd"/>
      <w:r>
        <w:t xml:space="preserve"> decline traces to Kola &amp; Landis: clinical trial failures for PK/ADME reasons "have been reduced from ~40% in 1991 to ~10% in 2000 (Kennedy 1997; Kola and Landis 2004)." </w:t>
      </w:r>
      <w:hyperlink r:id="rId64">
        <w:r>
          <w:rPr>
            <w:b/>
            <w:color w:val="1F5132"/>
            <w:position w:val="7"/>
            <w:sz w:val="18"/>
            <w:szCs w:val="18"/>
          </w:rPr>
          <w:t>23</w:t>
        </w:r>
      </w:hyperlink>
    </w:p>
    <w:p w14:paraId="08114812" w14:textId="77777777" w:rsidR="00CA4F2F" w:rsidRDefault="00203421">
      <w:pPr>
        <w:pStyle w:val="Quote"/>
      </w:pPr>
      <w:r>
        <w:t xml:space="preserve">If you wish to retain the specific "≈93% preclinical attrition" figure, cite its actual primary source rather than the </w:t>
      </w:r>
      <w:proofErr w:type="spellStart"/>
      <w:r>
        <w:t>ADMETlab</w:t>
      </w:r>
      <w:proofErr w:type="spellEnd"/>
      <w:r>
        <w:t xml:space="preserve"> 3.0 tool paper — but note that this precise number is less consistently supported in the primary literature than the ~90% </w:t>
      </w:r>
      <w:r>
        <w:rPr>
          <w:i/>
        </w:rPr>
        <w:t>clinical</w:t>
      </w:r>
      <w:r>
        <w:t xml:space="preserve"> failure figure, so I recommend the framing above.</w:t>
      </w:r>
    </w:p>
    <w:p w14:paraId="1A068686" w14:textId="77777777" w:rsidR="00CA4F2F" w:rsidRDefault="00203421">
      <w:pPr>
        <w:pStyle w:val="Heading3"/>
      </w:pPr>
      <w:r>
        <w:t>(b) Corrected / verified reference entries (drop-in)</w:t>
      </w:r>
    </w:p>
    <w:p w14:paraId="07638E10" w14:textId="77777777" w:rsidR="00CA4F2F" w:rsidRDefault="00203421">
      <w:pPr>
        <w:pStyle w:val="Quote"/>
      </w:pPr>
      <w:r>
        <w:t xml:space="preserve">These are the entries I independently verified or corrected. </w:t>
      </w:r>
      <w:r>
        <w:rPr>
          <w:b/>
        </w:rPr>
        <w:t>This is not a regenerated full bibliography</w:t>
      </w:r>
      <w:r>
        <w:t xml:space="preserve"> — I could only access a subset of the 40 references in this proof, so entries I could not retrieve (e.g., </w:t>
      </w:r>
      <w:hyperlink r:id="rId65">
        <w:r>
          <w:rPr>
            <w:b/>
            <w:color w:val="1F5132"/>
            <w:position w:val="7"/>
            <w:sz w:val="18"/>
            <w:szCs w:val="18"/>
          </w:rPr>
          <w:t>7</w:t>
        </w:r>
      </w:hyperlink>
      <w:r>
        <w:t xml:space="preserve">, </w:t>
      </w:r>
      <w:hyperlink r:id="rId66">
        <w:r>
          <w:rPr>
            <w:b/>
            <w:color w:val="1F5132"/>
            <w:position w:val="7"/>
            <w:sz w:val="18"/>
            <w:szCs w:val="18"/>
          </w:rPr>
          <w:t>8</w:t>
        </w:r>
      </w:hyperlink>
      <w:r>
        <w:t xml:space="preserve">, </w:t>
      </w:r>
      <w:hyperlink r:id="rId67">
        <w:r>
          <w:rPr>
            <w:b/>
            <w:color w:val="1F5132"/>
            <w:position w:val="7"/>
            <w:sz w:val="18"/>
            <w:szCs w:val="18"/>
          </w:rPr>
          <w:t>9</w:t>
        </w:r>
      </w:hyperlink>
      <w:r>
        <w:t xml:space="preserve">, </w:t>
      </w:r>
      <w:hyperlink r:id="rId68">
        <w:r>
          <w:rPr>
            <w:b/>
            <w:color w:val="1F5132"/>
            <w:position w:val="7"/>
            <w:sz w:val="18"/>
            <w:szCs w:val="18"/>
          </w:rPr>
          <w:t>13</w:t>
        </w:r>
      </w:hyperlink>
      <w:r>
        <w:t xml:space="preserve">, </w:t>
      </w:r>
      <w:hyperlink r:id="rId69">
        <w:r>
          <w:rPr>
            <w:b/>
            <w:color w:val="1F5132"/>
            <w:position w:val="7"/>
            <w:sz w:val="18"/>
            <w:szCs w:val="18"/>
          </w:rPr>
          <w:t>15</w:t>
        </w:r>
      </w:hyperlink>
      <w:r>
        <w:t xml:space="preserve">, </w:t>
      </w:r>
      <w:hyperlink r:id="rId70">
        <w:r>
          <w:rPr>
            <w:b/>
            <w:color w:val="1F5132"/>
            <w:position w:val="7"/>
            <w:sz w:val="18"/>
            <w:szCs w:val="18"/>
          </w:rPr>
          <w:t>16</w:t>
        </w:r>
      </w:hyperlink>
      <w:r>
        <w:t xml:space="preserve">, </w:t>
      </w:r>
      <w:hyperlink r:id="rId71">
        <w:r>
          <w:rPr>
            <w:b/>
            <w:color w:val="1F5132"/>
            <w:position w:val="7"/>
            <w:sz w:val="18"/>
            <w:szCs w:val="18"/>
          </w:rPr>
          <w:t>23</w:t>
        </w:r>
      </w:hyperlink>
      <w:r>
        <w:t>–</w:t>
      </w:r>
      <w:r>
        <w:rPr>
          <w:b/>
          <w:color w:val="1F5132"/>
          <w:position w:val="7"/>
          <w:sz w:val="18"/>
          <w:szCs w:val="18"/>
        </w:rPr>
        <w:t>31</w:t>
      </w:r>
      <w:r>
        <w:t xml:space="preserve">, </w:t>
      </w:r>
      <w:r>
        <w:rPr>
          <w:b/>
          <w:color w:val="1F5132"/>
          <w:position w:val="7"/>
          <w:sz w:val="18"/>
          <w:szCs w:val="18"/>
        </w:rPr>
        <w:t>34</w:t>
      </w:r>
      <w:r>
        <w:t>–</w:t>
      </w:r>
      <w:r>
        <w:rPr>
          <w:b/>
          <w:color w:val="1F5132"/>
          <w:position w:val="7"/>
          <w:sz w:val="18"/>
          <w:szCs w:val="18"/>
        </w:rPr>
        <w:t>36</w:t>
      </w:r>
      <w:r>
        <w:t xml:space="preserve">, </w:t>
      </w:r>
      <w:r>
        <w:rPr>
          <w:b/>
          <w:color w:val="1F5132"/>
          <w:position w:val="7"/>
          <w:sz w:val="18"/>
          <w:szCs w:val="18"/>
        </w:rPr>
        <w:t>38</w:t>
      </w:r>
      <w:r>
        <w:t xml:space="preserve">, </w:t>
      </w:r>
      <w:r>
        <w:rPr>
          <w:b/>
          <w:color w:val="1F5132"/>
          <w:position w:val="7"/>
          <w:sz w:val="18"/>
          <w:szCs w:val="18"/>
        </w:rPr>
        <w:t>39</w:t>
      </w:r>
      <w:r>
        <w:t xml:space="preserve">) are </w:t>
      </w:r>
      <w:r>
        <w:rPr>
          <w:b/>
        </w:rPr>
        <w:t>not</w:t>
      </w:r>
      <w:r>
        <w:t xml:space="preserve"> reproduced here and must be checked separately. I have not invented any </w:t>
      </w:r>
      <w:proofErr w:type="gramStart"/>
      <w:r>
        <w:t>entry</w:t>
      </w:r>
      <w:proofErr w:type="gramEnd"/>
      <w:r>
        <w:t>.</w:t>
      </w:r>
    </w:p>
    <w:p w14:paraId="114DA4F4" w14:textId="77777777" w:rsidR="00CA4F2F" w:rsidRDefault="00203421">
      <w:r>
        <w:rPr>
          <w:b/>
        </w:rPr>
        <w:t>Corrected existing references:</w:t>
      </w:r>
    </w:p>
    <w:p w14:paraId="6ABDCD66" w14:textId="77777777" w:rsidR="00CA4F2F" w:rsidRDefault="00203421">
      <w:pPr>
        <w:pStyle w:val="ListParagraph"/>
        <w:tabs>
          <w:tab w:val="left" w:pos="720"/>
        </w:tabs>
        <w:ind w:left="720" w:hanging="360"/>
      </w:pPr>
      <w:r>
        <w:t>1.</w:t>
      </w:r>
      <w:r>
        <w:tab/>
      </w:r>
      <w:hyperlink r:id="rId72">
        <w:r>
          <w:rPr>
            <w:b/>
            <w:color w:val="1F5132"/>
            <w:position w:val="7"/>
            <w:sz w:val="18"/>
            <w:szCs w:val="18"/>
          </w:rPr>
          <w:t>1</w:t>
        </w:r>
      </w:hyperlink>
      <w:r>
        <w:t xml:space="preserve"> Fu L, Shi S, Yi J, Wang N, He Y, Wu Z, Peng J, Deng Y, Wang W, Wu C, Lyu A, Zeng X, Zhao W, Hou T, Cao D. </w:t>
      </w:r>
      <w:proofErr w:type="spellStart"/>
      <w:r>
        <w:t>ADMETlab</w:t>
      </w:r>
      <w:proofErr w:type="spellEnd"/>
      <w:r>
        <w:t xml:space="preserve"> 3.0: an updated comprehensive online ADMET prediction platform… </w:t>
      </w:r>
      <w:r>
        <w:rPr>
          <w:i/>
        </w:rPr>
        <w:t>Nucleic Acids Research</w:t>
      </w:r>
      <w:r>
        <w:t xml:space="preserve"> 2024;52(W1</w:t>
      </w:r>
      <w:proofErr w:type="gramStart"/>
      <w:r>
        <w:t>):W</w:t>
      </w:r>
      <w:proofErr w:type="gramEnd"/>
      <w:r>
        <w:t>422–W431. doi:10.1093/</w:t>
      </w:r>
      <w:proofErr w:type="spellStart"/>
      <w:r>
        <w:t>nar</w:t>
      </w:r>
      <w:proofErr w:type="spellEnd"/>
      <w:r>
        <w:t xml:space="preserve">/gkae236. — </w:t>
      </w:r>
      <w:r>
        <w:rPr>
          <w:i/>
        </w:rPr>
        <w:t>Verify author spellings against the DOI (see audit).</w:t>
      </w:r>
    </w:p>
    <w:p w14:paraId="0E7DBB11" w14:textId="77777777" w:rsidR="00CA4F2F" w:rsidRDefault="00203421">
      <w:pPr>
        <w:pStyle w:val="ListParagraph"/>
        <w:tabs>
          <w:tab w:val="left" w:pos="720"/>
        </w:tabs>
        <w:ind w:left="720" w:hanging="360"/>
      </w:pPr>
      <w:r>
        <w:t>2.</w:t>
      </w:r>
      <w:r>
        <w:tab/>
      </w:r>
      <w:hyperlink r:id="rId73">
        <w:r>
          <w:rPr>
            <w:b/>
            <w:color w:val="1F5132"/>
            <w:position w:val="7"/>
            <w:sz w:val="18"/>
            <w:szCs w:val="18"/>
          </w:rPr>
          <w:t>2</w:t>
        </w:r>
      </w:hyperlink>
      <w:r>
        <w:rPr>
          <w:b/>
        </w:rPr>
        <w:t xml:space="preserve"> → replace with primary:</w:t>
      </w:r>
      <w:r>
        <w:t xml:space="preserve"> Kola I, Landis J. Can the pharmaceutical industry reduce attrition rates? </w:t>
      </w:r>
      <w:r>
        <w:rPr>
          <w:i/>
        </w:rPr>
        <w:t>Nature Reviews Drug Discovery</w:t>
      </w:r>
      <w:r>
        <w:t xml:space="preserve"> 2004;3(8):711–715. doi:10.1038/nrd1470. (Verified: </w:t>
      </w:r>
      <w:r>
        <w:rPr>
          <w:i/>
        </w:rPr>
        <w:t xml:space="preserve">Nat Rev Drug </w:t>
      </w:r>
      <w:proofErr w:type="spellStart"/>
      <w:r>
        <w:rPr>
          <w:i/>
        </w:rPr>
        <w:t>Discov</w:t>
      </w:r>
      <w:proofErr w:type="spellEnd"/>
      <w:r>
        <w:t xml:space="preserve"> 2004 Aug;3(8):711-5, doi:10.1038/nrd1470.) </w:t>
      </w:r>
      <w:hyperlink r:id="rId74">
        <w:r>
          <w:rPr>
            <w:b/>
            <w:color w:val="1F5132"/>
            <w:position w:val="7"/>
            <w:sz w:val="18"/>
            <w:szCs w:val="18"/>
          </w:rPr>
          <w:t>15</w:t>
        </w:r>
      </w:hyperlink>
    </w:p>
    <w:p w14:paraId="087E3C11" w14:textId="77777777" w:rsidR="00CA4F2F" w:rsidRDefault="00203421">
      <w:pPr>
        <w:pStyle w:val="ListParagraph"/>
        <w:tabs>
          <w:tab w:val="left" w:pos="720"/>
        </w:tabs>
        <w:ind w:left="720" w:hanging="360"/>
      </w:pPr>
      <w:r>
        <w:t>3.</w:t>
      </w:r>
      <w:r>
        <w:tab/>
      </w:r>
      <w:hyperlink r:id="rId75">
        <w:r>
          <w:rPr>
            <w:b/>
            <w:color w:val="1F5132"/>
            <w:position w:val="7"/>
            <w:sz w:val="18"/>
            <w:szCs w:val="18"/>
          </w:rPr>
          <w:t>3</w:t>
        </w:r>
      </w:hyperlink>
      <w:r>
        <w:t xml:space="preserve"> Komura H, Watanabe R, Mizuguchi K. The trends and future prospective </w:t>
      </w:r>
      <w:proofErr w:type="gramStart"/>
      <w:r>
        <w:t>of in</w:t>
      </w:r>
      <w:proofErr w:type="gramEnd"/>
      <w:r>
        <w:t xml:space="preserve"> silico models from the viewpoint of ADME evaluation in drug discovery. </w:t>
      </w:r>
      <w:r>
        <w:rPr>
          <w:i/>
        </w:rPr>
        <w:t>Pharmaceutics</w:t>
      </w:r>
      <w:r>
        <w:t xml:space="preserve"> 2023;15(11):2619. doi:10.3390/pharmaceutics15112619.</w:t>
      </w:r>
    </w:p>
    <w:p w14:paraId="6DD31730" w14:textId="10E5F205" w:rsidR="00CA4F2F" w:rsidRDefault="00203421">
      <w:pPr>
        <w:pStyle w:val="ListParagraph"/>
        <w:tabs>
          <w:tab w:val="left" w:pos="720"/>
        </w:tabs>
        <w:ind w:left="720" w:hanging="360"/>
      </w:pPr>
      <w:r>
        <w:lastRenderedPageBreak/>
        <w:t>4.</w:t>
      </w:r>
      <w:r>
        <w:tab/>
      </w:r>
      <w:hyperlink r:id="rId76" w:anchor="pages=9-10">
        <w:r>
          <w:rPr>
            <w:b/>
            <w:color w:val="1F5132"/>
            <w:position w:val="7"/>
            <w:sz w:val="18"/>
            <w:szCs w:val="18"/>
          </w:rPr>
          <w:t>6</w:t>
        </w:r>
      </w:hyperlink>
      <w:r>
        <w:t xml:space="preserve"> Méndez-Lucio O, Nicolaou CA, Earnshaw B. </w:t>
      </w:r>
      <w:proofErr w:type="spellStart"/>
      <w:r>
        <w:t>MolE</w:t>
      </w:r>
      <w:proofErr w:type="spellEnd"/>
      <w:r>
        <w:t xml:space="preserve">: a foundation model for molecular graphs using disentangled attention. </w:t>
      </w:r>
      <w:r>
        <w:rPr>
          <w:i/>
        </w:rPr>
        <w:t>Nature Communications</w:t>
      </w:r>
      <w:r>
        <w:t xml:space="preserve"> </w:t>
      </w:r>
      <w:proofErr w:type="gramStart"/>
      <w:r>
        <w:t>2024;15:9431</w:t>
      </w:r>
      <w:proofErr w:type="gramEnd"/>
      <w:r>
        <w:t>. doi:10.1038/s41467-024-53751-</w:t>
      </w:r>
      <w:proofErr w:type="gramStart"/>
      <w:r>
        <w:t>y. —</w:t>
      </w:r>
      <w:proofErr w:type="gramEnd"/>
      <w:r>
        <w:t xml:space="preserve"> </w:t>
      </w:r>
      <w:r>
        <w:rPr>
          <w:i/>
        </w:rPr>
        <w:t xml:space="preserve">Remove </w:t>
      </w:r>
      <w:r>
        <w:rPr>
          <w:rFonts w:ascii="Courier New" w:hAnsi="Courier New"/>
          <w:i/>
          <w:sz w:val="18"/>
          <w:shd w:val="clear" w:color="auto" w:fill="F2F1F0"/>
        </w:rPr>
        <w:t>[VERIFY]</w:t>
      </w:r>
      <w:r>
        <w:rPr>
          <w:i/>
        </w:rPr>
        <w:t>; article number confirmed.</w:t>
      </w:r>
      <w:r>
        <w:t xml:space="preserve"> (Verified: Nat Commun 2024 Nov </w:t>
      </w:r>
      <w:proofErr w:type="gramStart"/>
      <w:r>
        <w:t>12;15:9431</w:t>
      </w:r>
      <w:proofErr w:type="gramEnd"/>
      <w:r>
        <w:t xml:space="preserve">.) </w:t>
      </w:r>
      <w:hyperlink r:id="rId77">
        <w:r>
          <w:rPr>
            <w:b/>
            <w:color w:val="1F5132"/>
            <w:position w:val="7"/>
            <w:sz w:val="18"/>
            <w:szCs w:val="18"/>
          </w:rPr>
          <w:t>16</w:t>
        </w:r>
      </w:hyperlink>
    </w:p>
    <w:p w14:paraId="562D836C" w14:textId="77777777" w:rsidR="00CA4F2F" w:rsidRDefault="00203421">
      <w:pPr>
        <w:pStyle w:val="ListParagraph"/>
        <w:tabs>
          <w:tab w:val="left" w:pos="720"/>
        </w:tabs>
        <w:ind w:left="720" w:hanging="360"/>
      </w:pPr>
      <w:r>
        <w:t>5.</w:t>
      </w:r>
      <w:r>
        <w:tab/>
      </w:r>
      <w:hyperlink r:id="rId78">
        <w:r>
          <w:rPr>
            <w:b/>
            <w:color w:val="1F5132"/>
            <w:position w:val="7"/>
            <w:sz w:val="18"/>
            <w:szCs w:val="18"/>
          </w:rPr>
          <w:t>18</w:t>
        </w:r>
      </w:hyperlink>
      <w:r>
        <w:rPr>
          <w:b/>
        </w:rPr>
        <w:t xml:space="preserve"> → update to peer-reviewed version:</w:t>
      </w:r>
      <w:r>
        <w:t xml:space="preserve"> </w:t>
      </w:r>
      <w:proofErr w:type="spellStart"/>
      <w:r>
        <w:t>Koleiev</w:t>
      </w:r>
      <w:proofErr w:type="spellEnd"/>
      <w:r>
        <w:t xml:space="preserve"> I, </w:t>
      </w:r>
      <w:proofErr w:type="spellStart"/>
      <w:r>
        <w:t>Stratiichuk</w:t>
      </w:r>
      <w:proofErr w:type="spellEnd"/>
      <w:r>
        <w:t xml:space="preserve"> R, Shevchuk N, </w:t>
      </w:r>
      <w:proofErr w:type="spellStart"/>
      <w:r>
        <w:t>Melnychenko</w:t>
      </w:r>
      <w:proofErr w:type="spellEnd"/>
      <w:r>
        <w:t xml:space="preserve"> M, </w:t>
      </w:r>
      <w:proofErr w:type="spellStart"/>
      <w:r>
        <w:t>Nyporko</w:t>
      </w:r>
      <w:proofErr w:type="spellEnd"/>
      <w:r>
        <w:t xml:space="preserve"> O, </w:t>
      </w:r>
      <w:proofErr w:type="spellStart"/>
      <w:r>
        <w:t>Todoryshyn</w:t>
      </w:r>
      <w:proofErr w:type="spellEnd"/>
      <w:r>
        <w:t xml:space="preserve"> D, Husak V, </w:t>
      </w:r>
      <w:proofErr w:type="spellStart"/>
      <w:r>
        <w:t>Starosyla</w:t>
      </w:r>
      <w:proofErr w:type="spellEnd"/>
      <w:r>
        <w:t xml:space="preserve"> S, </w:t>
      </w:r>
      <w:proofErr w:type="spellStart"/>
      <w:r>
        <w:t>Yesylevskyy</w:t>
      </w:r>
      <w:proofErr w:type="spellEnd"/>
      <w:r>
        <w:t xml:space="preserve"> S, </w:t>
      </w:r>
      <w:proofErr w:type="spellStart"/>
      <w:r>
        <w:t>Nafiiev</w:t>
      </w:r>
      <w:proofErr w:type="spellEnd"/>
      <w:r>
        <w:t xml:space="preserve"> A. An End-User Audit of Reproducibility, Data Leakage, and Overfitting of the Top-Ranked ADMET Prediction Models in TDC Leaderboards. </w:t>
      </w:r>
      <w:r>
        <w:rPr>
          <w:i/>
        </w:rPr>
        <w:t>Journal of Chemical Information and Modeling</w:t>
      </w:r>
      <w:r>
        <w:t xml:space="preserve"> 2026. </w:t>
      </w:r>
      <w:proofErr w:type="gramStart"/>
      <w:r>
        <w:t>doi:10.1021/acs.jcim</w:t>
      </w:r>
      <w:proofErr w:type="gramEnd"/>
      <w:r>
        <w:t xml:space="preserve">.6c00819. (Verified JCIM version, 2026-07-27, </w:t>
      </w:r>
      <w:proofErr w:type="gramStart"/>
      <w:r>
        <w:t>doi:10.1021/acs.jcim</w:t>
      </w:r>
      <w:proofErr w:type="gramEnd"/>
      <w:r>
        <w:t xml:space="preserve">.6c00819; supersedes bioRxiv 10.64898/2026.02.26.708193.) </w:t>
      </w:r>
      <w:hyperlink r:id="rId79">
        <w:r>
          <w:rPr>
            <w:b/>
            <w:color w:val="1F5132"/>
            <w:position w:val="7"/>
            <w:sz w:val="18"/>
            <w:szCs w:val="18"/>
          </w:rPr>
          <w:t>19</w:t>
        </w:r>
      </w:hyperlink>
    </w:p>
    <w:p w14:paraId="2B17B129" w14:textId="77777777" w:rsidR="00CA4F2F" w:rsidRDefault="00203421">
      <w:pPr>
        <w:pStyle w:val="ListParagraph"/>
        <w:tabs>
          <w:tab w:val="left" w:pos="720"/>
        </w:tabs>
        <w:ind w:left="720" w:hanging="360"/>
      </w:pPr>
      <w:r>
        <w:t>6.</w:t>
      </w:r>
      <w:r>
        <w:tab/>
      </w:r>
      <w:hyperlink r:id="rId80">
        <w:r>
          <w:rPr>
            <w:b/>
            <w:color w:val="1F5132"/>
            <w:position w:val="7"/>
            <w:sz w:val="18"/>
            <w:szCs w:val="18"/>
          </w:rPr>
          <w:t>19</w:t>
        </w:r>
      </w:hyperlink>
      <w:r>
        <w:t xml:space="preserve"> Swanson K, Walther P, Leitz J, Mukherjee S, Wu JC, </w:t>
      </w:r>
      <w:proofErr w:type="spellStart"/>
      <w:r>
        <w:t>Shivnaraine</w:t>
      </w:r>
      <w:proofErr w:type="spellEnd"/>
      <w:r>
        <w:t xml:space="preserve"> RV, Zou J. ADMET-AI: a machine learning ADMET platform for evaluation of large-scale chemical libraries. </w:t>
      </w:r>
      <w:r>
        <w:rPr>
          <w:i/>
        </w:rPr>
        <w:t>Bioinformatics</w:t>
      </w:r>
      <w:r>
        <w:t xml:space="preserve"> 2024;40(7</w:t>
      </w:r>
      <w:proofErr w:type="gramStart"/>
      <w:r>
        <w:t>):btae</w:t>
      </w:r>
      <w:proofErr w:type="gramEnd"/>
      <w:r>
        <w:t xml:space="preserve">416. doi:10.1093/bioinformatics/btae416. (Verified.) </w:t>
      </w:r>
      <w:hyperlink r:id="rId81">
        <w:r>
          <w:rPr>
            <w:b/>
            <w:color w:val="1F5132"/>
            <w:position w:val="7"/>
            <w:sz w:val="18"/>
            <w:szCs w:val="18"/>
          </w:rPr>
          <w:t>7</w:t>
        </w:r>
      </w:hyperlink>
    </w:p>
    <w:p w14:paraId="46F42D16" w14:textId="77777777" w:rsidR="00CA4F2F" w:rsidRDefault="00203421">
      <w:pPr>
        <w:pStyle w:val="ListParagraph"/>
        <w:tabs>
          <w:tab w:val="left" w:pos="720"/>
        </w:tabs>
        <w:ind w:left="720" w:hanging="360"/>
      </w:pPr>
      <w:r>
        <w:t>7.</w:t>
      </w:r>
      <w:r>
        <w:tab/>
      </w:r>
      <w:hyperlink r:id="rId82">
        <w:r>
          <w:rPr>
            <w:b/>
            <w:color w:val="1F5132"/>
            <w:position w:val="7"/>
            <w:sz w:val="18"/>
            <w:szCs w:val="18"/>
          </w:rPr>
          <w:t>20</w:t>
        </w:r>
      </w:hyperlink>
      <w:r>
        <w:t xml:space="preserve"> Correia J, Capela J, Rocha M. </w:t>
      </w:r>
      <w:proofErr w:type="spellStart"/>
      <w:r>
        <w:t>DeepMol</w:t>
      </w:r>
      <w:proofErr w:type="spellEnd"/>
      <w:r>
        <w:t xml:space="preserve">: an automated machine and deep learning framework for computational chemistry. </w:t>
      </w:r>
      <w:r>
        <w:rPr>
          <w:i/>
        </w:rPr>
        <w:t>Journal of Cheminformatics</w:t>
      </w:r>
      <w:r>
        <w:t xml:space="preserve"> 2024;16(1):136. doi:10.1186/s13321-024-00937-7. (Verified.) </w:t>
      </w:r>
      <w:hyperlink r:id="rId83">
        <w:r>
          <w:rPr>
            <w:b/>
            <w:color w:val="1F5132"/>
            <w:position w:val="7"/>
            <w:sz w:val="18"/>
            <w:szCs w:val="18"/>
          </w:rPr>
          <w:t>8</w:t>
        </w:r>
      </w:hyperlink>
    </w:p>
    <w:p w14:paraId="207291DE" w14:textId="77777777" w:rsidR="00CA4F2F" w:rsidRDefault="00203421">
      <w:pPr>
        <w:pStyle w:val="ListParagraph"/>
        <w:tabs>
          <w:tab w:val="left" w:pos="720"/>
        </w:tabs>
        <w:ind w:left="720" w:hanging="360"/>
      </w:pPr>
      <w:r>
        <w:t>8.</w:t>
      </w:r>
      <w:r>
        <w:tab/>
      </w:r>
      <w:hyperlink r:id="rId84">
        <w:r>
          <w:rPr>
            <w:b/>
            <w:color w:val="1F5132"/>
            <w:position w:val="7"/>
            <w:sz w:val="18"/>
            <w:szCs w:val="18"/>
          </w:rPr>
          <w:t>22</w:t>
        </w:r>
      </w:hyperlink>
      <w:r>
        <w:rPr>
          <w:b/>
        </w:rPr>
        <w:t xml:space="preserve"> → update to peer-reviewed version and fix name:</w:t>
      </w:r>
      <w:r>
        <w:t xml:space="preserve"> Marimuthu AN, McGuire BA. Machine Learning Pipeline for Molecular Property Prediction Using </w:t>
      </w:r>
      <w:proofErr w:type="spellStart"/>
      <w:r>
        <w:t>ChemXploreML</w:t>
      </w:r>
      <w:proofErr w:type="spellEnd"/>
      <w:r>
        <w:t xml:space="preserve">. </w:t>
      </w:r>
      <w:r>
        <w:rPr>
          <w:i/>
        </w:rPr>
        <w:t>Journal of Chemical Information and Modeling</w:t>
      </w:r>
      <w:r>
        <w:t xml:space="preserve"> 2025;65(11):5424–5437. </w:t>
      </w:r>
      <w:proofErr w:type="gramStart"/>
      <w:r>
        <w:t>doi:10.1021/acs.jcim</w:t>
      </w:r>
      <w:proofErr w:type="gramEnd"/>
      <w:r>
        <w:t xml:space="preserve">.5c00516. (Verified JCIM version; supersedes arXiv:2505.08688.) </w:t>
      </w:r>
      <w:hyperlink r:id="rId85">
        <w:r>
          <w:rPr>
            <w:b/>
            <w:color w:val="1F5132"/>
            <w:position w:val="7"/>
            <w:sz w:val="18"/>
            <w:szCs w:val="18"/>
          </w:rPr>
          <w:t>21</w:t>
        </w:r>
      </w:hyperlink>
    </w:p>
    <w:p w14:paraId="6652A233" w14:textId="77777777" w:rsidR="00CA4F2F" w:rsidRDefault="00203421">
      <w:pPr>
        <w:pStyle w:val="ListParagraph"/>
        <w:tabs>
          <w:tab w:val="left" w:pos="720"/>
        </w:tabs>
        <w:ind w:left="720" w:hanging="360"/>
      </w:pPr>
      <w:r>
        <w:t>9.</w:t>
      </w:r>
      <w:r>
        <w:tab/>
      </w:r>
      <w:r>
        <w:rPr>
          <w:b/>
          <w:color w:val="1F5132"/>
          <w:position w:val="7"/>
          <w:sz w:val="18"/>
          <w:szCs w:val="18"/>
        </w:rPr>
        <w:t>37</w:t>
      </w:r>
      <w:r>
        <w:t xml:space="preserve"> Yang K, Swanson K, Jin W, Coley C, Eiden P, Gao H, Guzman-Perez A, Hopper T, Kelley B, Mathea M, Palmer A, </w:t>
      </w:r>
      <w:proofErr w:type="spellStart"/>
      <w:r>
        <w:t>Settels</w:t>
      </w:r>
      <w:proofErr w:type="spellEnd"/>
      <w:r>
        <w:t xml:space="preserve"> V, Jaakkola T, Jensen K, Barzilay R. Analyzing learned molecular representations for property prediction. </w:t>
      </w:r>
      <w:r>
        <w:rPr>
          <w:i/>
        </w:rPr>
        <w:t>Journal of Chemical Information and Modeling</w:t>
      </w:r>
      <w:r>
        <w:t xml:space="preserve"> 2019;59(8):3370–3388. </w:t>
      </w:r>
      <w:proofErr w:type="gramStart"/>
      <w:r>
        <w:t>doi:10.1021/acs.jcim</w:t>
      </w:r>
      <w:proofErr w:type="gramEnd"/>
      <w:r>
        <w:t>.9b00237.</w:t>
      </w:r>
    </w:p>
    <w:p w14:paraId="0B257358" w14:textId="77777777" w:rsidR="00CA4F2F" w:rsidRDefault="00203421">
      <w:pPr>
        <w:pStyle w:val="ListParagraph"/>
        <w:tabs>
          <w:tab w:val="left" w:pos="720"/>
        </w:tabs>
        <w:ind w:left="720" w:hanging="360"/>
      </w:pPr>
      <w:r>
        <w:t>10.</w:t>
      </w:r>
      <w:r>
        <w:tab/>
      </w:r>
      <w:r>
        <w:rPr>
          <w:b/>
          <w:color w:val="1F5132"/>
          <w:position w:val="7"/>
          <w:sz w:val="18"/>
          <w:szCs w:val="18"/>
        </w:rPr>
        <w:t>40</w:t>
      </w:r>
      <w:r>
        <w:t xml:space="preserve"> Hsu DF, Chung Y-S, Kristal BS. Combinatorial fusion analysis: methods and practices of combining multiple scoring systems. In </w:t>
      </w:r>
      <w:r>
        <w:rPr>
          <w:i/>
        </w:rPr>
        <w:t>Advanced Data Mining Technologies in Bioinformatics</w:t>
      </w:r>
      <w:r>
        <w:t xml:space="preserve">, IGI Global, 2006. — </w:t>
      </w:r>
      <w:r>
        <w:rPr>
          <w:b/>
        </w:rPr>
        <w:t>Pagination (pp. 32–62) still unverified; confirm against the book.</w:t>
      </w:r>
    </w:p>
    <w:p w14:paraId="36C6B144" w14:textId="77777777" w:rsidR="00CA4F2F" w:rsidRDefault="00203421">
      <w:pPr>
        <w:pStyle w:val="Heading3"/>
      </w:pPr>
      <w:r>
        <w:t xml:space="preserve">(c) New references to add (Uni-Mol2, </w:t>
      </w:r>
      <w:proofErr w:type="spellStart"/>
      <w:r>
        <w:t>Chemprop</w:t>
      </w:r>
      <w:proofErr w:type="spellEnd"/>
      <w:r>
        <w:t xml:space="preserve"> v2, </w:t>
      </w:r>
      <w:proofErr w:type="gramStart"/>
      <w:r>
        <w:t>Polaris) —</w:t>
      </w:r>
      <w:proofErr w:type="gramEnd"/>
      <w:r>
        <w:t xml:space="preserve"> drop-in</w:t>
      </w:r>
    </w:p>
    <w:p w14:paraId="7F8B3D50" w14:textId="77777777" w:rsidR="00CA4F2F" w:rsidRDefault="00203421">
      <w:r>
        <w:rPr>
          <w:b/>
        </w:rPr>
        <w:t>Uni-Mol2</w:t>
      </w:r>
      <w:r>
        <w:t xml:space="preserve"> (for the "Uni-Mol V2 (84m)" model </w:t>
      </w:r>
      <w:proofErr w:type="gramStart"/>
      <w:r>
        <w:t>actually run</w:t>
      </w:r>
      <w:proofErr w:type="gramEnd"/>
      <w:r>
        <w:t>):</w:t>
      </w:r>
    </w:p>
    <w:p w14:paraId="1BBC2E6F" w14:textId="77777777" w:rsidR="00CA4F2F" w:rsidRDefault="00203421">
      <w:pPr>
        <w:pStyle w:val="Quote"/>
      </w:pPr>
      <w:r>
        <w:t xml:space="preserve">Ji X, Wang Z, Gao Z, Zheng H, Zhang L, Ke G, E W. Uni-Mol2: Exploring Molecular Pretraining Model at Scale. </w:t>
      </w:r>
      <w:r>
        <w:rPr>
          <w:i/>
        </w:rPr>
        <w:t>Advances in Neural Information Processing Systems (</w:t>
      </w:r>
      <w:proofErr w:type="spellStart"/>
      <w:r>
        <w:rPr>
          <w:i/>
        </w:rPr>
        <w:t>NeurIPS</w:t>
      </w:r>
      <w:proofErr w:type="spellEnd"/>
      <w:r>
        <w:rPr>
          <w:i/>
        </w:rPr>
        <w:t>)</w:t>
      </w:r>
      <w:r>
        <w:t xml:space="preserve"> 2024. arXiv:2406.14969. doi:10.48550/arXiv.2406.14969.</w:t>
      </w:r>
    </w:p>
    <w:p w14:paraId="1D4E2248" w14:textId="77777777" w:rsidR="00CA4F2F" w:rsidRDefault="00203421">
      <w:r>
        <w:t xml:space="preserve">Verified: Ji, Wang, Gao, Zheng, Zhang, Ke and E present Uni-Mol2, a two-track transformer scaled to 1.1 billion parameters via pretraining on 800 million conformations; </w:t>
      </w:r>
      <w:hyperlink r:id="rId86">
        <w:r>
          <w:rPr>
            <w:b/>
            <w:color w:val="1F5132"/>
            <w:position w:val="7"/>
            <w:sz w:val="18"/>
            <w:szCs w:val="18"/>
          </w:rPr>
          <w:t>24</w:t>
        </w:r>
      </w:hyperlink>
      <w:r>
        <w:t xml:space="preserve"> released with Ji et al. 2024 (</w:t>
      </w:r>
      <w:proofErr w:type="spellStart"/>
      <w:r>
        <w:t>NeurIPS</w:t>
      </w:r>
      <w:proofErr w:type="spellEnd"/>
      <w:r>
        <w:t xml:space="preserve"> 2024), with sizes from 84 million to 1.1 billion parameters. </w:t>
      </w:r>
      <w:hyperlink r:id="rId87">
        <w:r>
          <w:rPr>
            <w:b/>
            <w:color w:val="1F5132"/>
            <w:position w:val="7"/>
            <w:sz w:val="18"/>
            <w:szCs w:val="18"/>
          </w:rPr>
          <w:t>25</w:t>
        </w:r>
      </w:hyperlink>
      <w:r>
        <w:t xml:space="preserve"> The 84M variant is the size used in the manuscript.</w:t>
      </w:r>
    </w:p>
    <w:p w14:paraId="5985E258" w14:textId="77777777" w:rsidR="00CA4F2F" w:rsidRDefault="00203421">
      <w:proofErr w:type="spellStart"/>
      <w:r>
        <w:rPr>
          <w:b/>
        </w:rPr>
        <w:t>Chemprop</w:t>
      </w:r>
      <w:proofErr w:type="spellEnd"/>
      <w:r>
        <w:rPr>
          <w:b/>
        </w:rPr>
        <w:t xml:space="preserve"> v2</w:t>
      </w:r>
      <w:r>
        <w:t xml:space="preserve"> (for the software version </w:t>
      </w:r>
      <w:proofErr w:type="gramStart"/>
      <w:r>
        <w:t>actually run</w:t>
      </w:r>
      <w:proofErr w:type="gramEnd"/>
      <w:r>
        <w:t xml:space="preserve"> — add alongside the existing Yang 2019 </w:t>
      </w:r>
      <w:r>
        <w:rPr>
          <w:b/>
          <w:color w:val="1F5132"/>
          <w:position w:val="7"/>
          <w:sz w:val="18"/>
          <w:szCs w:val="18"/>
        </w:rPr>
        <w:t>37</w:t>
      </w:r>
      <w:r>
        <w:t>):</w:t>
      </w:r>
    </w:p>
    <w:p w14:paraId="00494109" w14:textId="77777777" w:rsidR="00CA4F2F" w:rsidRDefault="00203421">
      <w:pPr>
        <w:pStyle w:val="Quote"/>
      </w:pPr>
      <w:r>
        <w:lastRenderedPageBreak/>
        <w:t xml:space="preserve">Graff DE, Morgan NK, Burns JW, Doner AC, Li B, Li S-C, Manu J, Menon A, et al. </w:t>
      </w:r>
      <w:proofErr w:type="spellStart"/>
      <w:r>
        <w:t>Chemprop</w:t>
      </w:r>
      <w:proofErr w:type="spellEnd"/>
      <w:r>
        <w:t xml:space="preserve"> v2: An Efficient, Modular Machine Learning Package for Chemical Property Prediction. </w:t>
      </w:r>
      <w:r>
        <w:rPr>
          <w:i/>
        </w:rPr>
        <w:t>Journal of Chemical Information and Modeling</w:t>
      </w:r>
      <w:r>
        <w:t xml:space="preserve"> 2026;66(1):28–33. </w:t>
      </w:r>
      <w:proofErr w:type="gramStart"/>
      <w:r>
        <w:t>doi:10.1021/acs.jcim</w:t>
      </w:r>
      <w:proofErr w:type="gramEnd"/>
      <w:r>
        <w:t>.5c02332.</w:t>
      </w:r>
    </w:p>
    <w:p w14:paraId="15509B70" w14:textId="77777777" w:rsidR="00CA4F2F" w:rsidRDefault="00203421">
      <w:r>
        <w:t>Verified: Graff et al., "</w:t>
      </w:r>
      <w:proofErr w:type="spellStart"/>
      <w:r>
        <w:t>Chemprop</w:t>
      </w:r>
      <w:proofErr w:type="spellEnd"/>
      <w:r>
        <w:t xml:space="preserve"> v2: An Efficient, Modular Machine Learning Package for Chemical Property Prediction," </w:t>
      </w:r>
      <w:r>
        <w:rPr>
          <w:i/>
        </w:rPr>
        <w:t>J. Chem. Inf. Model.</w:t>
      </w:r>
      <w:r>
        <w:t xml:space="preserve"> 2026;66(1):28–33, </w:t>
      </w:r>
      <w:proofErr w:type="gramStart"/>
      <w:r>
        <w:t>doi:10.1021/acs.jcim</w:t>
      </w:r>
      <w:proofErr w:type="gramEnd"/>
      <w:r>
        <w:t xml:space="preserve">.5c02332 — a ground-up rewrite of </w:t>
      </w:r>
      <w:proofErr w:type="spellStart"/>
      <w:r>
        <w:t>Chemprop</w:t>
      </w:r>
      <w:proofErr w:type="spellEnd"/>
      <w:r>
        <w:t xml:space="preserve">. </w:t>
      </w:r>
      <w:hyperlink r:id="rId88">
        <w:r>
          <w:rPr>
            <w:b/>
            <w:color w:val="1F5132"/>
            <w:position w:val="7"/>
            <w:sz w:val="18"/>
            <w:szCs w:val="18"/>
          </w:rPr>
          <w:t>26</w:t>
        </w:r>
      </w:hyperlink>
    </w:p>
    <w:p w14:paraId="5067CEC3" w14:textId="77777777" w:rsidR="00CA4F2F" w:rsidRDefault="00203421">
      <w:pPr>
        <w:pStyle w:val="Quote"/>
      </w:pPr>
      <w:r>
        <w:t>Optionally also cite the intermediate package paper, which many works reference for "</w:t>
      </w:r>
      <w:proofErr w:type="spellStart"/>
      <w:r>
        <w:t>Chemprop</w:t>
      </w:r>
      <w:proofErr w:type="spellEnd"/>
      <w:r>
        <w:t xml:space="preserve">": Heid E, Greenman KP, Chung Y, Li S-C, Graff DE, Vermeire FH, Wu H, Green WH, McGill CJ. </w:t>
      </w:r>
      <w:proofErr w:type="spellStart"/>
      <w:r>
        <w:t>Chemprop</w:t>
      </w:r>
      <w:proofErr w:type="spellEnd"/>
      <w:r>
        <w:t xml:space="preserve">: A Machine Learning Package for Chemical Property Prediction. </w:t>
      </w:r>
      <w:r>
        <w:rPr>
          <w:i/>
        </w:rPr>
        <w:t>Journal of Chemical Information and Modeling</w:t>
      </w:r>
      <w:r>
        <w:t xml:space="preserve"> 2024;64(1):9–17. </w:t>
      </w:r>
      <w:proofErr w:type="gramStart"/>
      <w:r>
        <w:t>doi:10.1021/acs.jcim</w:t>
      </w:r>
      <w:proofErr w:type="gramEnd"/>
      <w:r>
        <w:t xml:space="preserve">.3c01250. (Verified: </w:t>
      </w:r>
      <w:r>
        <w:rPr>
          <w:i/>
        </w:rPr>
        <w:t>J Chem Inf Model</w:t>
      </w:r>
      <w:r>
        <w:t xml:space="preserve"> 2024 Jan 8;64(1):9-17, </w:t>
      </w:r>
      <w:proofErr w:type="gramStart"/>
      <w:r>
        <w:t>doi:10.1021/acs.jcim</w:t>
      </w:r>
      <w:proofErr w:type="gramEnd"/>
      <w:r>
        <w:t xml:space="preserve">.3c01250.) </w:t>
      </w:r>
      <w:hyperlink r:id="rId89">
        <w:r>
          <w:rPr>
            <w:b/>
            <w:color w:val="1F5132"/>
            <w:position w:val="7"/>
            <w:sz w:val="18"/>
            <w:szCs w:val="18"/>
          </w:rPr>
          <w:t>27</w:t>
        </w:r>
      </w:hyperlink>
      <w:r>
        <w:t xml:space="preserve"> — </w:t>
      </w:r>
      <w:r>
        <w:rPr>
          <w:i/>
        </w:rPr>
        <w:t>Recommendation: cite Yang 2019 (D-MPNN origin) + Graff 2026 (the v2 software you run); Heid 2024 is optional.</w:t>
      </w:r>
    </w:p>
    <w:p w14:paraId="3973E417" w14:textId="77777777" w:rsidR="00CA4F2F" w:rsidRDefault="00203421">
      <w:r>
        <w:rPr>
          <w:b/>
        </w:rPr>
        <w:t>Polaris</w:t>
      </w:r>
      <w:r>
        <w:t xml:space="preserve"> (for the Polaris ADME datasets and the "immutable, standardized benchmarks" claim):</w:t>
      </w:r>
    </w:p>
    <w:p w14:paraId="2E021CD3" w14:textId="77777777" w:rsidR="00CA4F2F" w:rsidRDefault="00203421">
      <w:pPr>
        <w:pStyle w:val="Quote"/>
      </w:pPr>
      <w:r>
        <w:t xml:space="preserve">Ash JR, </w:t>
      </w:r>
      <w:proofErr w:type="spellStart"/>
      <w:r>
        <w:t>Wognum</w:t>
      </w:r>
      <w:proofErr w:type="spellEnd"/>
      <w:r>
        <w:t xml:space="preserve"> C, Rodríguez-Pérez R, </w:t>
      </w:r>
      <w:proofErr w:type="spellStart"/>
      <w:r>
        <w:t>Aldeghi</w:t>
      </w:r>
      <w:proofErr w:type="spellEnd"/>
      <w:r>
        <w:t xml:space="preserve"> M, Cheng AC, </w:t>
      </w:r>
      <w:proofErr w:type="spellStart"/>
      <w:r>
        <w:t>Clevert</w:t>
      </w:r>
      <w:proofErr w:type="spellEnd"/>
      <w:r>
        <w:t xml:space="preserve"> D-A, Engkvist O, Fang C, Price DJ, Hughes-Oliver JM, Walters WP. Practically Significant Method Comparison Protocols for Machine Learning in Small Molecule Drug Discovery. </w:t>
      </w:r>
      <w:r>
        <w:rPr>
          <w:i/>
        </w:rPr>
        <w:t>Journal of Chemical Information and Modeling</w:t>
      </w:r>
      <w:r>
        <w:t xml:space="preserve"> 2025;65(18):9398–9411. </w:t>
      </w:r>
      <w:proofErr w:type="gramStart"/>
      <w:r>
        <w:t>doi:10.1021/acs.jcim</w:t>
      </w:r>
      <w:proofErr w:type="gramEnd"/>
      <w:r>
        <w:t>.5c01609.</w:t>
      </w:r>
    </w:p>
    <w:p w14:paraId="221895A8" w14:textId="77777777" w:rsidR="00CA4F2F" w:rsidRDefault="00203421">
      <w:r>
        <w:t xml:space="preserve">Verified: Ash, </w:t>
      </w:r>
      <w:proofErr w:type="spellStart"/>
      <w:r>
        <w:t>Wognum</w:t>
      </w:r>
      <w:proofErr w:type="spellEnd"/>
      <w:r>
        <w:t xml:space="preserve">, Rodríguez-Pérez, Aldeghi, Cheng, </w:t>
      </w:r>
      <w:proofErr w:type="spellStart"/>
      <w:r>
        <w:t>Clevert</w:t>
      </w:r>
      <w:proofErr w:type="spellEnd"/>
      <w:r>
        <w:t xml:space="preserve">, Engkvist, Fang, Price, Hughes-Oliver and Walters, "Practically significant method comparison protocols for machine learning in small molecule drug discovery," </w:t>
      </w:r>
      <w:r>
        <w:rPr>
          <w:i/>
        </w:rPr>
        <w:t>J. Chem. Inf. Model.</w:t>
      </w:r>
      <w:r>
        <w:t xml:space="preserve"> 65(18), 9398–9411 (2025), </w:t>
      </w:r>
      <w:proofErr w:type="gramStart"/>
      <w:r>
        <w:t>doi:10.1021/acs.jcim</w:t>
      </w:r>
      <w:proofErr w:type="gramEnd"/>
      <w:r>
        <w:t xml:space="preserve">.5c01609. </w:t>
      </w:r>
      <w:hyperlink r:id="rId90">
        <w:r>
          <w:rPr>
            <w:b/>
            <w:color w:val="1F5132"/>
            <w:position w:val="7"/>
            <w:sz w:val="18"/>
            <w:szCs w:val="18"/>
          </w:rPr>
          <w:t>28</w:t>
        </w:r>
      </w:hyperlink>
    </w:p>
    <w:p w14:paraId="2432210E" w14:textId="77777777" w:rsidR="00CA4F2F" w:rsidRDefault="00203421">
      <w:pPr>
        <w:pStyle w:val="Quote"/>
      </w:pPr>
      <w:r>
        <w:t xml:space="preserve">For the Polaris </w:t>
      </w:r>
      <w:r>
        <w:rPr>
          <w:b/>
        </w:rPr>
        <w:t>software/data</w:t>
      </w:r>
      <w:r>
        <w:t xml:space="preserve"> itself, also cite the archived release: </w:t>
      </w:r>
      <w:proofErr w:type="spellStart"/>
      <w:r>
        <w:t>Wognum</w:t>
      </w:r>
      <w:proofErr w:type="spellEnd"/>
      <w:r>
        <w:t xml:space="preserve"> C, et al. </w:t>
      </w:r>
      <w:proofErr w:type="spellStart"/>
      <w:r>
        <w:t>polaris</w:t>
      </w:r>
      <w:proofErr w:type="spellEnd"/>
      <w:r>
        <w:t>-hub/</w:t>
      </w:r>
      <w:proofErr w:type="spellStart"/>
      <w:r>
        <w:t>polaris</w:t>
      </w:r>
      <w:proofErr w:type="spellEnd"/>
      <w:r>
        <w:t xml:space="preserve"> (</w:t>
      </w:r>
      <w:proofErr w:type="spellStart"/>
      <w:r>
        <w:t>Zenodo</w:t>
      </w:r>
      <w:proofErr w:type="spellEnd"/>
      <w:r>
        <w:t xml:space="preserve">). doi:10.5281/zenodo.15610218. (Verified: </w:t>
      </w:r>
      <w:proofErr w:type="spellStart"/>
      <w:r>
        <w:t>Wognum</w:t>
      </w:r>
      <w:proofErr w:type="spellEnd"/>
      <w:r>
        <w:t xml:space="preserve"> C. et al., </w:t>
      </w:r>
      <w:proofErr w:type="spellStart"/>
      <w:r>
        <w:t>polaris</w:t>
      </w:r>
      <w:proofErr w:type="spellEnd"/>
      <w:r>
        <w:t>-hub/</w:t>
      </w:r>
      <w:proofErr w:type="spellStart"/>
      <w:r>
        <w:t>polaris</w:t>
      </w:r>
      <w:proofErr w:type="spellEnd"/>
      <w:r>
        <w:t xml:space="preserve">, </w:t>
      </w:r>
      <w:proofErr w:type="spellStart"/>
      <w:r>
        <w:t>Zenodo</w:t>
      </w:r>
      <w:proofErr w:type="spellEnd"/>
      <w:r>
        <w:t xml:space="preserve">, 2025, zenodo.org/records/15610218.) </w:t>
      </w:r>
      <w:hyperlink r:id="rId91">
        <w:r>
          <w:rPr>
            <w:b/>
            <w:color w:val="1F5132"/>
            <w:position w:val="7"/>
            <w:sz w:val="18"/>
            <w:szCs w:val="18"/>
          </w:rPr>
          <w:t>29</w:t>
        </w:r>
      </w:hyperlink>
    </w:p>
    <w:p w14:paraId="322AD374" w14:textId="77777777" w:rsidR="00CA4F2F" w:rsidRDefault="00CA4F2F">
      <w:pPr>
        <w:pBdr>
          <w:bottom w:val="single" w:sz="6" w:space="1" w:color="auto"/>
        </w:pBdr>
      </w:pPr>
    </w:p>
    <w:p w14:paraId="2FFED9EA" w14:textId="77777777" w:rsidR="00CA4F2F" w:rsidRDefault="00203421">
      <w:pPr>
        <w:pStyle w:val="Heading3"/>
      </w:pPr>
      <w:r>
        <w:t>Overall assessment</w:t>
      </w:r>
    </w:p>
    <w:p w14:paraId="5EFAB881" w14:textId="77777777" w:rsidR="00CA4F2F" w:rsidRDefault="00203421">
      <w:r>
        <w:t>A candid, well-scoped, and useful benchmarking/software contribution whose citations are — unusually — accurate and current. It is held back from acceptance by (</w:t>
      </w:r>
      <w:proofErr w:type="spellStart"/>
      <w:r>
        <w:t>i</w:t>
      </w:r>
      <w:proofErr w:type="spellEnd"/>
      <w:r>
        <w:t xml:space="preserve">) a naming conflict with an existing Schrödinger trademark in the identical domain, (ii) a single-seed statistical foundation, (iii) an "estimated rank" comparison against a demonstrably contaminated reference set, and (iv) editorial defects reflecting its proof-build status. None is fatal; all are addressable. </w:t>
      </w:r>
      <w:r>
        <w:rPr>
          <w:b/>
        </w:rPr>
        <w:t>Major Revision.</w:t>
      </w:r>
    </w:p>
    <w:p w14:paraId="5385062D" w14:textId="77777777" w:rsidR="00CA4F2F" w:rsidRDefault="00203421">
      <w:pPr>
        <w:pStyle w:val="Heading2"/>
      </w:pPr>
      <w:r>
        <w:t>References</w:t>
      </w:r>
    </w:p>
    <w:p w14:paraId="314AD9F8" w14:textId="77777777" w:rsidR="00CA4F2F" w:rsidRDefault="00203421">
      <w:pPr>
        <w:pStyle w:val="ListParagraph"/>
        <w:tabs>
          <w:tab w:val="left" w:pos="720"/>
        </w:tabs>
        <w:ind w:left="720" w:hanging="360"/>
      </w:pPr>
      <w:r>
        <w:t>1.</w:t>
      </w:r>
      <w:r>
        <w:tab/>
      </w:r>
      <w:r>
        <w:t xml:space="preserve">Dixon SL, Duan J, Smith E, Von Bargen CD, Sherman W, Repasky MP. </w:t>
      </w:r>
      <w:proofErr w:type="spellStart"/>
      <w:r>
        <w:t>AutoQSAR</w:t>
      </w:r>
      <w:proofErr w:type="spellEnd"/>
      <w:r>
        <w:t xml:space="preserve">: an automated machine learning tool for best-practice quantitative structure-activity relationship </w:t>
      </w:r>
      <w:r>
        <w:lastRenderedPageBreak/>
        <w:t>modeling. Future Med Chem. 2016;8(15):1825-1839. doi:10.4155/fmc-2016-0093. PMID: 27643715.</w:t>
      </w:r>
    </w:p>
    <w:p w14:paraId="1F98CEF8" w14:textId="77777777" w:rsidR="00CA4F2F" w:rsidRDefault="00203421">
      <w:pPr>
        <w:pStyle w:val="ListParagraph"/>
        <w:tabs>
          <w:tab w:val="left" w:pos="720"/>
        </w:tabs>
        <w:ind w:left="720" w:hanging="360"/>
      </w:pPr>
      <w:r>
        <w:t>2.</w:t>
      </w:r>
      <w:r>
        <w:tab/>
        <w:t xml:space="preserve">Schrödinger Materials Science </w:t>
      </w:r>
      <w:proofErr w:type="spellStart"/>
      <w:r>
        <w:t>DeepAutoQSAR</w:t>
      </w:r>
      <w:proofErr w:type="spellEnd"/>
      <w:r>
        <w:t xml:space="preserve"> for Machine Learning. Retrieved 2026-09-25, from </w:t>
      </w:r>
      <w:hyperlink r:id="rId92">
        <w:r>
          <w:rPr>
            <w:color w:val="1F5132"/>
            <w:u w:val="single"/>
          </w:rPr>
          <w:t>https://nanohub.org/resources/autoqsar</w:t>
        </w:r>
      </w:hyperlink>
    </w:p>
    <w:p w14:paraId="4448CBB2" w14:textId="77777777" w:rsidR="00CA4F2F" w:rsidRDefault="00203421">
      <w:pPr>
        <w:pStyle w:val="ListParagraph"/>
        <w:tabs>
          <w:tab w:val="left" w:pos="1080"/>
        </w:tabs>
        <w:ind w:left="1080" w:hanging="360"/>
      </w:pPr>
      <w:r>
        <w:t>1.</w:t>
      </w:r>
      <w:r>
        <w:tab/>
        <w:t xml:space="preserve">Retrieved 2026-09-25, from </w:t>
      </w:r>
      <w:hyperlink r:id="rId93">
        <w:r>
          <w:rPr>
            <w:color w:val="1F5132"/>
            <w:u w:val="single"/>
          </w:rPr>
          <w:t>https://chemrxiv.org/engage/api-gateway/chemrxiv/assets/orp/resource/item/60c755bf842e65adc6db4393/original/efficient-exploration-of-chemical-space-with-docking-and-deep-learning.pdf</w:t>
        </w:r>
      </w:hyperlink>
    </w:p>
    <w:p w14:paraId="37BB5012" w14:textId="77777777" w:rsidR="00CA4F2F" w:rsidRDefault="00203421">
      <w:pPr>
        <w:pStyle w:val="ListParagraph"/>
        <w:tabs>
          <w:tab w:val="left" w:pos="720"/>
        </w:tabs>
        <w:ind w:left="720" w:hanging="360"/>
      </w:pPr>
      <w:r>
        <w:t>4.</w:t>
      </w:r>
      <w:r>
        <w:tab/>
        <w:t xml:space="preserve">On the Virtues of Automated QSAR The New Kid on the Block </w:t>
      </w:r>
      <w:r>
        <w:t xml:space="preserve">. Retrieved 2026-09-25, from </w:t>
      </w:r>
      <w:hyperlink r:id="rId94">
        <w:r>
          <w:rPr>
            <w:color w:val="1F5132"/>
            <w:u w:val="single"/>
          </w:rPr>
          <w:t>https://arxiv.org/pdf/1711.02639</w:t>
        </w:r>
      </w:hyperlink>
    </w:p>
    <w:p w14:paraId="27FB854D" w14:textId="77777777" w:rsidR="00CA4F2F" w:rsidRDefault="00203421">
      <w:pPr>
        <w:pStyle w:val="ListParagraph"/>
        <w:tabs>
          <w:tab w:val="left" w:pos="720"/>
        </w:tabs>
        <w:ind w:left="720" w:hanging="360"/>
      </w:pPr>
      <w:r>
        <w:t>5.</w:t>
      </w:r>
      <w:r>
        <w:tab/>
        <w:t xml:space="preserve">Benchmark study of </w:t>
      </w:r>
      <w:proofErr w:type="spellStart"/>
      <w:r>
        <w:t>DeepAutoQSAR</w:t>
      </w:r>
      <w:proofErr w:type="spellEnd"/>
      <w:r>
        <w:t xml:space="preserve">, </w:t>
      </w:r>
      <w:proofErr w:type="spellStart"/>
      <w:r>
        <w:t>ChemProp</w:t>
      </w:r>
      <w:proofErr w:type="spellEnd"/>
      <w:r>
        <w:t xml:space="preserve">, and </w:t>
      </w:r>
      <w:proofErr w:type="spellStart"/>
      <w:r>
        <w:t>DeepPurpose</w:t>
      </w:r>
      <w:proofErr w:type="spellEnd"/>
      <w:r>
        <w:t xml:space="preserve"> on the ADMET subset of the Therapeutic Data Commons - Schrödinger. Retrieved 2026-09-25, from </w:t>
      </w:r>
      <w:hyperlink r:id="rId95">
        <w:r>
          <w:rPr>
            <w:color w:val="1F5132"/>
            <w:u w:val="single"/>
          </w:rPr>
          <w:t>https://www.schrodinger.com/life-science/learn/white-papers/benchmark-study-deepautoqsar-chemprop-and-deeppurpose-admet-subset-therapeutic-data/</w:t>
        </w:r>
      </w:hyperlink>
    </w:p>
    <w:p w14:paraId="7735AEBD" w14:textId="77777777" w:rsidR="00CA4F2F" w:rsidRDefault="00203421">
      <w:pPr>
        <w:pStyle w:val="ListParagraph"/>
        <w:tabs>
          <w:tab w:val="left" w:pos="720"/>
        </w:tabs>
        <w:ind w:left="720" w:hanging="360"/>
      </w:pPr>
      <w:r>
        <w:t>6.</w:t>
      </w:r>
      <w:r>
        <w:tab/>
        <w:t>proof.pdf. Internal reference: file:25819#pages=9-10. Accessed 2026-09-25.</w:t>
      </w:r>
    </w:p>
    <w:p w14:paraId="617D8BB5" w14:textId="77777777" w:rsidR="00CA4F2F" w:rsidRDefault="00203421">
      <w:pPr>
        <w:pStyle w:val="ListParagraph"/>
        <w:tabs>
          <w:tab w:val="left" w:pos="720"/>
        </w:tabs>
        <w:ind w:left="720" w:hanging="360"/>
      </w:pPr>
      <w:r>
        <w:t>7.</w:t>
      </w:r>
      <w:r>
        <w:tab/>
        <w:t xml:space="preserve">a machine learning ADMET platform for evaluation of large-scale. [bibliographic details unresolved] </w:t>
      </w:r>
      <w:hyperlink r:id="rId96">
        <w:r>
          <w:rPr>
            <w:color w:val="1F5132"/>
            <w:u w:val="single"/>
          </w:rPr>
          <w:t>https://academic.oup.com/bioinformatics/article/40/7/btae416/7698030</w:t>
        </w:r>
      </w:hyperlink>
    </w:p>
    <w:p w14:paraId="2865931F" w14:textId="77777777" w:rsidR="00CA4F2F" w:rsidRDefault="00203421">
      <w:pPr>
        <w:pStyle w:val="ListParagraph"/>
        <w:tabs>
          <w:tab w:val="left" w:pos="720"/>
        </w:tabs>
        <w:ind w:left="720" w:hanging="360"/>
      </w:pPr>
      <w:r>
        <w:t>8.</w:t>
      </w:r>
      <w:r>
        <w:tab/>
      </w:r>
      <w:proofErr w:type="spellStart"/>
      <w:r>
        <w:t>Deepmol</w:t>
      </w:r>
      <w:proofErr w:type="spellEnd"/>
      <w:r>
        <w:t xml:space="preserve">: an automated machine and deep learning framework for computational chemistry. Retrieved 2026-09-25, from </w:t>
      </w:r>
      <w:hyperlink r:id="rId97">
        <w:r>
          <w:rPr>
            <w:color w:val="1F5132"/>
            <w:u w:val="single"/>
          </w:rPr>
          <w:t>https://colab.ws/articles/10.1186%2Fs13321-024-00937-7</w:t>
        </w:r>
      </w:hyperlink>
    </w:p>
    <w:p w14:paraId="5BC9C31C" w14:textId="77777777" w:rsidR="00CA4F2F" w:rsidRDefault="00203421">
      <w:pPr>
        <w:pStyle w:val="ListParagraph"/>
        <w:tabs>
          <w:tab w:val="left" w:pos="720"/>
        </w:tabs>
        <w:ind w:left="720" w:hanging="360"/>
      </w:pPr>
      <w:r>
        <w:t>9.</w:t>
      </w:r>
      <w:r>
        <w:tab/>
      </w:r>
      <w:proofErr w:type="spellStart"/>
      <w:r>
        <w:t>Koleiev</w:t>
      </w:r>
      <w:proofErr w:type="spellEnd"/>
      <w:r>
        <w:t xml:space="preserve"> I, </w:t>
      </w:r>
      <w:proofErr w:type="spellStart"/>
      <w:r>
        <w:t>Stratiichuk</w:t>
      </w:r>
      <w:proofErr w:type="spellEnd"/>
      <w:r>
        <w:t xml:space="preserve"> R, Shevchuk N, </w:t>
      </w:r>
      <w:proofErr w:type="spellStart"/>
      <w:r>
        <w:t>Melnychenko</w:t>
      </w:r>
      <w:proofErr w:type="spellEnd"/>
      <w:r>
        <w:t xml:space="preserve"> M, </w:t>
      </w:r>
      <w:proofErr w:type="spellStart"/>
      <w:r>
        <w:t>Nyporko</w:t>
      </w:r>
      <w:proofErr w:type="spellEnd"/>
      <w:r>
        <w:t xml:space="preserve"> O, </w:t>
      </w:r>
      <w:proofErr w:type="spellStart"/>
      <w:r>
        <w:t>Todoryshyn</w:t>
      </w:r>
      <w:proofErr w:type="spellEnd"/>
      <w:r>
        <w:t xml:space="preserve"> D, Husak V, </w:t>
      </w:r>
      <w:proofErr w:type="spellStart"/>
      <w:r>
        <w:t>Starosyla</w:t>
      </w:r>
      <w:proofErr w:type="spellEnd"/>
      <w:r>
        <w:t xml:space="preserve"> S, </w:t>
      </w:r>
      <w:proofErr w:type="spellStart"/>
      <w:r>
        <w:t>Yesylevskyy</w:t>
      </w:r>
      <w:proofErr w:type="spellEnd"/>
      <w:r>
        <w:t xml:space="preserve"> S, </w:t>
      </w:r>
      <w:proofErr w:type="spellStart"/>
      <w:r>
        <w:t>Nafiiev</w:t>
      </w:r>
      <w:proofErr w:type="spellEnd"/>
      <w:r>
        <w:t xml:space="preserve"> A. Critical Assessment of ML models for ADMET Prediction in TDC leaderboards. bioRxiv (Cold Spring Harbor Laboratory). 2026. doi:10.64898/2026.02.26.708193.</w:t>
      </w:r>
    </w:p>
    <w:p w14:paraId="664EE183" w14:textId="77777777" w:rsidR="00CA4F2F" w:rsidRDefault="00203421">
      <w:pPr>
        <w:pStyle w:val="ListParagraph"/>
        <w:tabs>
          <w:tab w:val="left" w:pos="720"/>
        </w:tabs>
        <w:ind w:left="720" w:hanging="360"/>
      </w:pPr>
      <w:r>
        <w:t>10.</w:t>
      </w:r>
      <w:r>
        <w:tab/>
        <w:t xml:space="preserve">Machine Learning in </w:t>
      </w:r>
      <w:proofErr w:type="spellStart"/>
      <w:r>
        <w:t>Chemoinformatics</w:t>
      </w:r>
      <w:proofErr w:type="spellEnd"/>
      <w:r>
        <w:t xml:space="preserve"> and Medicinal. Retrieved 2026-09-25, from </w:t>
      </w:r>
      <w:hyperlink r:id="rId98">
        <w:r>
          <w:rPr>
            <w:color w:val="1F5132"/>
            <w:u w:val="single"/>
          </w:rPr>
          <w:t>https://www.scribd.com/document/896167842/Machine-Learning-in-Chemoinformatics-and-Medicinal-Chemistry</w:t>
        </w:r>
      </w:hyperlink>
    </w:p>
    <w:p w14:paraId="7B2E3E58" w14:textId="77777777" w:rsidR="00CA4F2F" w:rsidRDefault="00203421">
      <w:pPr>
        <w:pStyle w:val="ListParagraph"/>
        <w:tabs>
          <w:tab w:val="left" w:pos="720"/>
        </w:tabs>
        <w:ind w:left="720" w:hanging="360"/>
      </w:pPr>
      <w:r>
        <w:t>11.</w:t>
      </w:r>
      <w:r>
        <w:tab/>
        <w:t>Deng J, Yang Z, Wang H, Ojima I, Samaras D, Wang F. A systematic study of key elements underlying molecular property prediction. Nat Commun. 2023;14(1):6395. doi:10.1038/s41467-023-41948-6. PMID: 37833262.</w:t>
      </w:r>
    </w:p>
    <w:p w14:paraId="381ABB6B" w14:textId="77777777" w:rsidR="00CA4F2F" w:rsidRDefault="00203421">
      <w:pPr>
        <w:pStyle w:val="ListParagraph"/>
        <w:tabs>
          <w:tab w:val="left" w:pos="720"/>
        </w:tabs>
        <w:ind w:left="720" w:hanging="360"/>
      </w:pPr>
      <w:r>
        <w:t>12.</w:t>
      </w:r>
      <w:r>
        <w:tab/>
      </w:r>
      <w:r>
        <w:t xml:space="preserve">Fu L, Shi S, Yi J, Wang N, He Y, Wu Z, Peng J, Deng Y, Wang W, Wu C, Lyu A, Zeng X, Zhao W, Hou T, Cao D. </w:t>
      </w:r>
      <w:proofErr w:type="spellStart"/>
      <w:r>
        <w:t>ADMETlab</w:t>
      </w:r>
      <w:proofErr w:type="spellEnd"/>
      <w:r>
        <w:t xml:space="preserve"> 3.0: an updated comprehensive online ADMET prediction platform enhanced with broader coverage, improved performance, API functionality and decision support. Nucleic Acids Res. 2024;52(W1</w:t>
      </w:r>
      <w:proofErr w:type="gramStart"/>
      <w:r>
        <w:t>):W</w:t>
      </w:r>
      <w:proofErr w:type="gramEnd"/>
      <w:r>
        <w:t>422-W431. doi:10.1093/</w:t>
      </w:r>
      <w:proofErr w:type="spellStart"/>
      <w:r>
        <w:t>nar</w:t>
      </w:r>
      <w:proofErr w:type="spellEnd"/>
      <w:r>
        <w:t>/gkae236. PMID: 38572755.</w:t>
      </w:r>
    </w:p>
    <w:p w14:paraId="7494BEAD" w14:textId="77777777" w:rsidR="00CA4F2F" w:rsidRDefault="00203421">
      <w:pPr>
        <w:pStyle w:val="ListParagraph"/>
        <w:tabs>
          <w:tab w:val="left" w:pos="720"/>
        </w:tabs>
        <w:ind w:left="720" w:hanging="360"/>
      </w:pPr>
      <w:r>
        <w:t>13.</w:t>
      </w:r>
      <w:r>
        <w:tab/>
      </w:r>
      <w:r>
        <w:t xml:space="preserve">Semantic Scholar. [PDF] </w:t>
      </w:r>
      <w:proofErr w:type="spellStart"/>
      <w:r>
        <w:t>ADMETlab</w:t>
      </w:r>
      <w:proofErr w:type="spellEnd"/>
      <w:r>
        <w:t xml:space="preserve"> 3.0: an updated comprehensive online ADMET prediction platform enhanced with broader coverage, improved performance, API functionality and decision support. Retrieved 2026-09-25, from </w:t>
      </w:r>
      <w:hyperlink r:id="rId99">
        <w:r>
          <w:rPr>
            <w:color w:val="1F5132"/>
            <w:u w:val="single"/>
          </w:rPr>
          <w:t>https://www.semanticscholar.org/paper/ADMETlab-3.0:-an-updated-comprehensive-online-ADMET-Fu-Shi/c93bac2e963f00565469296b94e71e6871d0a214</w:t>
        </w:r>
      </w:hyperlink>
    </w:p>
    <w:p w14:paraId="0963E5A4" w14:textId="77777777" w:rsidR="00CA4F2F" w:rsidRDefault="00203421">
      <w:pPr>
        <w:pStyle w:val="ListParagraph"/>
        <w:tabs>
          <w:tab w:val="left" w:pos="720"/>
        </w:tabs>
        <w:ind w:left="720" w:hanging="360"/>
      </w:pPr>
      <w:r>
        <w:lastRenderedPageBreak/>
        <w:t>14.</w:t>
      </w:r>
      <w:r>
        <w:tab/>
      </w:r>
      <w:proofErr w:type="spellStart"/>
      <w:r>
        <w:t>Tsaioun</w:t>
      </w:r>
      <w:proofErr w:type="spellEnd"/>
      <w:r>
        <w:t xml:space="preserve"> K, </w:t>
      </w:r>
      <w:proofErr w:type="spellStart"/>
      <w:r>
        <w:t>Bottlaender</w:t>
      </w:r>
      <w:proofErr w:type="spellEnd"/>
      <w:r>
        <w:t xml:space="preserve"> M, </w:t>
      </w:r>
      <w:proofErr w:type="spellStart"/>
      <w:r>
        <w:t>Mabondzo</w:t>
      </w:r>
      <w:proofErr w:type="spellEnd"/>
      <w:r>
        <w:t xml:space="preserve"> A. ADDME--Avoiding Drug Development Mistakes Early: central nervous system drug discovery perspective. BMC Neurol. 2009;9 Suppl 1(Suppl 1</w:t>
      </w:r>
      <w:proofErr w:type="gramStart"/>
      <w:r>
        <w:t>):S</w:t>
      </w:r>
      <w:proofErr w:type="gramEnd"/>
      <w:r>
        <w:t>1. doi:10.1186/1471-2377-9-s1-s1. PMID: 19534730.</w:t>
      </w:r>
    </w:p>
    <w:p w14:paraId="586D828B" w14:textId="77777777" w:rsidR="00CA4F2F" w:rsidRDefault="00203421">
      <w:pPr>
        <w:pStyle w:val="ListParagraph"/>
        <w:tabs>
          <w:tab w:val="left" w:pos="720"/>
        </w:tabs>
        <w:ind w:left="720" w:hanging="360"/>
      </w:pPr>
      <w:r>
        <w:t>15.</w:t>
      </w:r>
      <w:r>
        <w:tab/>
        <w:t xml:space="preserve">Kola I, Landis J. Can the pharmaceutical industry reduce attrition rates? Nat Rev Drug </w:t>
      </w:r>
      <w:proofErr w:type="spellStart"/>
      <w:r>
        <w:t>Discov</w:t>
      </w:r>
      <w:proofErr w:type="spellEnd"/>
      <w:r>
        <w:t>. 2004;3(8):711-715. doi:10.1038/nrd1470. PMID: 15286737.</w:t>
      </w:r>
    </w:p>
    <w:p w14:paraId="7C35F0A6" w14:textId="77777777" w:rsidR="00CA4F2F" w:rsidRDefault="00203421">
      <w:pPr>
        <w:pStyle w:val="ListParagraph"/>
        <w:tabs>
          <w:tab w:val="left" w:pos="720"/>
        </w:tabs>
        <w:ind w:left="720" w:hanging="360"/>
      </w:pPr>
      <w:r>
        <w:t>16.</w:t>
      </w:r>
      <w:r>
        <w:tab/>
      </w:r>
      <w:r>
        <w:t xml:space="preserve">Méndez-Lucio O, Nicolaou CA, Earnshaw B. </w:t>
      </w:r>
      <w:proofErr w:type="spellStart"/>
      <w:r>
        <w:t>MolE</w:t>
      </w:r>
      <w:proofErr w:type="spellEnd"/>
      <w:r>
        <w:t>: a foundation model for molecular graphs using disentangled attention. Nat Commun. 2024;15(1):9431. doi:10.1038/s41467-024-53751-y. PMID: 39532853.</w:t>
      </w:r>
    </w:p>
    <w:p w14:paraId="3C5E0E8F" w14:textId="77777777" w:rsidR="00CA4F2F" w:rsidRDefault="00203421">
      <w:pPr>
        <w:pStyle w:val="ListParagraph"/>
        <w:tabs>
          <w:tab w:val="left" w:pos="720"/>
        </w:tabs>
        <w:ind w:left="720" w:hanging="360"/>
      </w:pPr>
      <w:r>
        <w:t>17.</w:t>
      </w:r>
      <w:r>
        <w:tab/>
        <w:t xml:space="preserve">ADMET property prediction through combinations of. Retrieved 2026-09-25, from </w:t>
      </w:r>
      <w:hyperlink r:id="rId100">
        <w:r>
          <w:rPr>
            <w:color w:val="1F5132"/>
            <w:u w:val="single"/>
          </w:rPr>
          <w:t>http://arxiv.org/pdf/2310.00174</w:t>
        </w:r>
      </w:hyperlink>
    </w:p>
    <w:p w14:paraId="7F616055" w14:textId="77777777" w:rsidR="00CA4F2F" w:rsidRDefault="00203421">
      <w:pPr>
        <w:pStyle w:val="ListParagraph"/>
        <w:tabs>
          <w:tab w:val="left" w:pos="720"/>
        </w:tabs>
        <w:ind w:left="720" w:hanging="360"/>
      </w:pPr>
      <w:r>
        <w:t>18.</w:t>
      </w:r>
      <w:r>
        <w:tab/>
        <w:t xml:space="preserve">Unveiling optimal molecular features for </w:t>
      </w:r>
      <w:proofErr w:type="spellStart"/>
      <w:r>
        <w:t>hERG</w:t>
      </w:r>
      <w:proofErr w:type="spellEnd"/>
      <w:r>
        <w:t xml:space="preserve"> insights with automatic machine learning. [bibliographic details unresolved] </w:t>
      </w:r>
      <w:hyperlink r:id="rId101">
        <w:r>
          <w:rPr>
            <w:color w:val="1F5132"/>
            <w:u w:val="single"/>
          </w:rPr>
          <w:t>https://www.sciencedirect.com/science/article/pii/S209517792500228X</w:t>
        </w:r>
      </w:hyperlink>
    </w:p>
    <w:p w14:paraId="55B99BA8" w14:textId="77777777" w:rsidR="00CA4F2F" w:rsidRDefault="00203421">
      <w:pPr>
        <w:pStyle w:val="ListParagraph"/>
        <w:tabs>
          <w:tab w:val="left" w:pos="720"/>
        </w:tabs>
        <w:ind w:left="720" w:hanging="360"/>
      </w:pPr>
      <w:r>
        <w:t>19.</w:t>
      </w:r>
      <w:r>
        <w:tab/>
        <w:t xml:space="preserve">Semen </w:t>
      </w:r>
      <w:proofErr w:type="spellStart"/>
      <w:r>
        <w:t>Yesylevskyy</w:t>
      </w:r>
      <w:proofErr w:type="spellEnd"/>
      <w:r>
        <w:t xml:space="preserve">. Retrieved 2026-09-25, from </w:t>
      </w:r>
      <w:hyperlink r:id="rId102">
        <w:r>
          <w:rPr>
            <w:color w:val="1F5132"/>
            <w:u w:val="single"/>
          </w:rPr>
          <w:t>https://orcid.org/0000-0002-6748-8931</w:t>
        </w:r>
      </w:hyperlink>
    </w:p>
    <w:p w14:paraId="4C9562C2" w14:textId="77777777" w:rsidR="00CA4F2F" w:rsidRDefault="00203421">
      <w:pPr>
        <w:pStyle w:val="ListParagraph"/>
        <w:tabs>
          <w:tab w:val="left" w:pos="720"/>
        </w:tabs>
        <w:ind w:left="720" w:hanging="360"/>
      </w:pPr>
      <w:r>
        <w:t>20.</w:t>
      </w:r>
      <w:r>
        <w:tab/>
        <w:t xml:space="preserve">Auto-ADMET: An Effective and Interpretable AutoML Method for Chemical ADMET Property Prediction. Retrieved 2026-09-25, from </w:t>
      </w:r>
      <w:hyperlink r:id="rId103">
        <w:r>
          <w:rPr>
            <w:color w:val="1F5132"/>
            <w:u w:val="single"/>
          </w:rPr>
          <w:t>https://arxiv.org/pdf/2502.16378</w:t>
        </w:r>
      </w:hyperlink>
    </w:p>
    <w:p w14:paraId="19FA8771" w14:textId="77777777" w:rsidR="00CA4F2F" w:rsidRDefault="00203421">
      <w:pPr>
        <w:pStyle w:val="ListParagraph"/>
        <w:tabs>
          <w:tab w:val="left" w:pos="720"/>
        </w:tabs>
        <w:ind w:left="720" w:hanging="360"/>
      </w:pPr>
      <w:r>
        <w:t>21.</w:t>
      </w:r>
      <w:r>
        <w:tab/>
      </w:r>
      <w:r>
        <w:t xml:space="preserve">Marimuthu AN, McGuire BA. Machine Learning Pipeline for Molecular Property Prediction Using </w:t>
      </w:r>
      <w:proofErr w:type="spellStart"/>
      <w:r>
        <w:t>ChemXploreML</w:t>
      </w:r>
      <w:proofErr w:type="spellEnd"/>
      <w:r>
        <w:t xml:space="preserve">. J Chem Inf Model. 2025;65(11):5424-5437. </w:t>
      </w:r>
      <w:proofErr w:type="gramStart"/>
      <w:r>
        <w:t>doi:10.1021/acs.jcim</w:t>
      </w:r>
      <w:proofErr w:type="gramEnd"/>
      <w:r>
        <w:t>.5c00516. PMID: 40392187.</w:t>
      </w:r>
    </w:p>
    <w:p w14:paraId="3B2AC129" w14:textId="77777777" w:rsidR="00CA4F2F" w:rsidRDefault="00203421">
      <w:pPr>
        <w:pStyle w:val="ListParagraph"/>
        <w:tabs>
          <w:tab w:val="left" w:pos="720"/>
        </w:tabs>
        <w:ind w:left="720" w:hanging="360"/>
      </w:pPr>
      <w:r>
        <w:t>22.</w:t>
      </w:r>
      <w:r>
        <w:tab/>
        <w:t xml:space="preserve">Sun D, Gao W, Hu H, Zhou S. Why </w:t>
      </w:r>
      <w:proofErr w:type="gramStart"/>
      <w:r>
        <w:t>90</w:t>
      </w:r>
      <w:proofErr w:type="gramEnd"/>
      <w:r>
        <w:t xml:space="preserve">% of clinical drug development </w:t>
      </w:r>
      <w:proofErr w:type="gramStart"/>
      <w:r>
        <w:t>fails</w:t>
      </w:r>
      <w:proofErr w:type="gramEnd"/>
      <w:r>
        <w:t xml:space="preserve"> and how </w:t>
      </w:r>
      <w:proofErr w:type="gramStart"/>
      <w:r>
        <w:t>to</w:t>
      </w:r>
      <w:proofErr w:type="gramEnd"/>
      <w:r>
        <w:t xml:space="preserve"> improve it? Acta Pharm Sin B. 2022;12(7):3049-3062. </w:t>
      </w:r>
      <w:proofErr w:type="gramStart"/>
      <w:r>
        <w:t>doi:10.1016/j.apsb</w:t>
      </w:r>
      <w:proofErr w:type="gramEnd"/>
      <w:r>
        <w:t>.2022.02.002. PMID: 35865092.</w:t>
      </w:r>
    </w:p>
    <w:p w14:paraId="724103D4" w14:textId="77777777" w:rsidR="00CA4F2F" w:rsidRDefault="00203421">
      <w:pPr>
        <w:pStyle w:val="ListParagraph"/>
        <w:tabs>
          <w:tab w:val="left" w:pos="720"/>
        </w:tabs>
        <w:ind w:left="720" w:hanging="360"/>
      </w:pPr>
      <w:r>
        <w:t>23.</w:t>
      </w:r>
      <w:r>
        <w:tab/>
      </w:r>
      <w:r>
        <w:t xml:space="preserve">(Preprint version of paper to appear in International Journal of Pharmaceutics, 2012) The impact of training set data distributions for. Retrieved 2026-09-25, from </w:t>
      </w:r>
      <w:hyperlink r:id="rId104">
        <w:r>
          <w:rPr>
            <w:color w:val="1F5132"/>
            <w:u w:val="single"/>
          </w:rPr>
          <w:t>https://www.cs.kent.ac.uk/people/staff/aaf/pub_papers.dir/Int-J-Pharmaceutics-2012-Ghafourian.pdf</w:t>
        </w:r>
      </w:hyperlink>
    </w:p>
    <w:p w14:paraId="433CD639" w14:textId="77777777" w:rsidR="00CA4F2F" w:rsidRDefault="00203421">
      <w:pPr>
        <w:pStyle w:val="ListParagraph"/>
        <w:tabs>
          <w:tab w:val="left" w:pos="720"/>
        </w:tabs>
        <w:ind w:left="720" w:hanging="360"/>
      </w:pPr>
      <w:r>
        <w:t>24.</w:t>
      </w:r>
      <w:r>
        <w:tab/>
        <w:t xml:space="preserve">Exploring Molecular Pretraining Model at Scale. Retrieved 2026-09-25, from </w:t>
      </w:r>
      <w:hyperlink r:id="rId105">
        <w:r>
          <w:rPr>
            <w:color w:val="1F5132"/>
            <w:u w:val="single"/>
          </w:rPr>
          <w:t>https://proceedings.neurips.cc/paper_files/paper/2024/file/53923bb44655a7defb31c7744c01b62b-Paper-Conference.pdf</w:t>
        </w:r>
      </w:hyperlink>
    </w:p>
    <w:p w14:paraId="0FF32C71" w14:textId="77777777" w:rsidR="00CA4F2F" w:rsidRDefault="00203421">
      <w:pPr>
        <w:pStyle w:val="ListParagraph"/>
        <w:tabs>
          <w:tab w:val="left" w:pos="720"/>
        </w:tabs>
        <w:ind w:left="720" w:hanging="360"/>
      </w:pPr>
      <w:r>
        <w:t>25.</w:t>
      </w:r>
      <w:r>
        <w:tab/>
        <w:t xml:space="preserve">Uni-Mol/README.md at main · </w:t>
      </w:r>
      <w:proofErr w:type="spellStart"/>
      <w:r>
        <w:t>deepmodeling</w:t>
      </w:r>
      <w:proofErr w:type="spellEnd"/>
      <w:r>
        <w:t xml:space="preserve">/Uni-Mol. Retrieved 2026-09-25, from </w:t>
      </w:r>
      <w:hyperlink r:id="rId106">
        <w:r>
          <w:rPr>
            <w:color w:val="1F5132"/>
            <w:u w:val="single"/>
          </w:rPr>
          <w:t>https://github.com/deepmodeling/Uni-Mol/blob/main/README.md</w:t>
        </w:r>
      </w:hyperlink>
    </w:p>
    <w:p w14:paraId="7EFC9575" w14:textId="77777777" w:rsidR="00CA4F2F" w:rsidRDefault="00203421">
      <w:pPr>
        <w:pStyle w:val="ListParagraph"/>
        <w:tabs>
          <w:tab w:val="left" w:pos="720"/>
        </w:tabs>
        <w:ind w:left="720" w:hanging="360"/>
      </w:pPr>
      <w:r>
        <w:t>26.</w:t>
      </w:r>
      <w:r>
        <w:tab/>
      </w:r>
      <w:r>
        <w:t xml:space="preserve">Graff DE, Morgan NK, Burns JW, Doner AC, Li B, Li SC, Manu J, Menon A, Pang HW, Wu H, </w:t>
      </w:r>
      <w:proofErr w:type="spellStart"/>
      <w:r>
        <w:t>Zalte</w:t>
      </w:r>
      <w:proofErr w:type="spellEnd"/>
      <w:r>
        <w:t xml:space="preserve"> AS, Zheng JW, Coley CW, Green WH, Greenman KP. </w:t>
      </w:r>
      <w:proofErr w:type="spellStart"/>
      <w:r>
        <w:t>Chemprop</w:t>
      </w:r>
      <w:proofErr w:type="spellEnd"/>
      <w:r>
        <w:t xml:space="preserve"> v2: An Efficient, Modular Machine Learning Package for Chemical Property Prediction. J Chem Inf Model. 2026;66(1):28-33. </w:t>
      </w:r>
      <w:proofErr w:type="gramStart"/>
      <w:r>
        <w:t>doi:10.1021/acs.jcim</w:t>
      </w:r>
      <w:proofErr w:type="gramEnd"/>
      <w:r>
        <w:t>.5c02332. PMID: 41453060.</w:t>
      </w:r>
    </w:p>
    <w:p w14:paraId="3AFEA25D" w14:textId="77777777" w:rsidR="00CA4F2F" w:rsidRDefault="00203421">
      <w:pPr>
        <w:pStyle w:val="ListParagraph"/>
        <w:tabs>
          <w:tab w:val="left" w:pos="720"/>
        </w:tabs>
        <w:ind w:left="720" w:hanging="360"/>
      </w:pPr>
      <w:r>
        <w:t>27.</w:t>
      </w:r>
      <w:r>
        <w:tab/>
      </w:r>
      <w:r>
        <w:t xml:space="preserve">Heid E, Greenman KP, Chung Y, Li SC, Graff DE, Vermeire FH, Wu H, Green WH, McGill CJ. </w:t>
      </w:r>
      <w:proofErr w:type="spellStart"/>
      <w:r>
        <w:t>Chemprop</w:t>
      </w:r>
      <w:proofErr w:type="spellEnd"/>
      <w:r>
        <w:t xml:space="preserve">: A Machine Learning Package for Chemical Property Prediction. J Chem Inf Model. 2024;64(1):9-17. </w:t>
      </w:r>
      <w:proofErr w:type="gramStart"/>
      <w:r>
        <w:t>doi:10.1021/acs.jcim</w:t>
      </w:r>
      <w:proofErr w:type="gramEnd"/>
      <w:r>
        <w:t>.3c01250. PMID: 38147829.</w:t>
      </w:r>
    </w:p>
    <w:p w14:paraId="55A7A32C" w14:textId="77777777" w:rsidR="00CA4F2F" w:rsidRDefault="00203421">
      <w:pPr>
        <w:pStyle w:val="ListParagraph"/>
        <w:tabs>
          <w:tab w:val="left" w:pos="720"/>
        </w:tabs>
        <w:ind w:left="720" w:hanging="360"/>
      </w:pPr>
      <w:r>
        <w:lastRenderedPageBreak/>
        <w:t>28.</w:t>
      </w:r>
      <w:r>
        <w:tab/>
        <w:t xml:space="preserve">Deep Learning Foundation Models from Classical. Retrieved 2026-09-25, from </w:t>
      </w:r>
      <w:hyperlink r:id="rId107">
        <w:r>
          <w:rPr>
            <w:color w:val="1F5132"/>
            <w:u w:val="single"/>
          </w:rPr>
          <w:t>https://www.alphaxiv.org/abs/2506.15792</w:t>
        </w:r>
      </w:hyperlink>
    </w:p>
    <w:p w14:paraId="1B2BC393" w14:textId="77777777" w:rsidR="00CA4F2F" w:rsidRDefault="00203421">
      <w:pPr>
        <w:pStyle w:val="ListParagraph"/>
        <w:tabs>
          <w:tab w:val="left" w:pos="720"/>
        </w:tabs>
        <w:ind w:left="720" w:hanging="360"/>
      </w:pPr>
      <w:r>
        <w:t>29.</w:t>
      </w:r>
      <w:r>
        <w:tab/>
      </w:r>
      <w:r>
        <w:t>Schuh MG, Daniluk A, Sieber SA. Auditing widely used biomolecular benchmarks reveals systematic data inconsistencies. Chem Sci. 2026;17(36):17455-17467. doi:10.1039/d6sc01799a. PMID: 42540466.</w:t>
      </w:r>
    </w:p>
    <w:sectPr w:rsidR="00CA4F2F">
      <w:headerReference w:type="default" r:id="rId108"/>
      <w:footerReference w:type="default" r:id="rId10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2EB6" w14:textId="77777777" w:rsidR="00203421" w:rsidRDefault="00203421">
      <w:pPr>
        <w:spacing w:after="0" w:line="240" w:lineRule="auto"/>
      </w:pPr>
      <w:r>
        <w:separator/>
      </w:r>
    </w:p>
  </w:endnote>
  <w:endnote w:type="continuationSeparator" w:id="0">
    <w:p w14:paraId="1D484F4C" w14:textId="77777777" w:rsidR="00203421" w:rsidRDefault="00203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B005" w14:textId="77777777" w:rsidR="00CA4F2F" w:rsidRDefault="00203421">
    <w:pPr>
      <w:tabs>
        <w:tab w:val="right" w:pos="9072"/>
      </w:tabs>
      <w:spacing w:after="0" w:line="240" w:lineRule="auto"/>
    </w:pPr>
    <w:r>
      <w:rPr>
        <w:noProof/>
      </w:rPr>
      <w:drawing>
        <wp:inline distT="0" distB="0" distL="0" distR="0" wp14:anchorId="3C3B355A" wp14:editId="467AA09A">
          <wp:extent cx="76200" cy="76200"/>
          <wp:effectExtent l="0" t="0" r="0" b="0"/>
          <wp:docPr id="1" name="H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CLogo"/>
                  <pic:cNvPicPr/>
                </pic:nvPicPr>
                <pic:blipFill>
                  <a:blip r:embed="rId1"/>
                  <a:stretch>
                    <a:fillRect/>
                  </a:stretch>
                </pic:blipFill>
                <pic:spPr>
                  <a:xfrm>
                    <a:off x="0" y="0"/>
                    <a:ext cx="76200" cy="76200"/>
                  </a:xfrm>
                  <a:prstGeom prst="rect">
                    <a:avLst/>
                  </a:prstGeom>
                </pic:spPr>
              </pic:pic>
            </a:graphicData>
          </a:graphic>
        </wp:inline>
      </w:drawing>
    </w:r>
    <w:r>
      <w:rPr>
        <w:rFonts w:ascii="Calibri" w:eastAsia="Calibri" w:hAnsi="Calibri" w:cs="Calibri"/>
        <w:color w:val="5A5A5A"/>
        <w:sz w:val="16"/>
        <w:szCs w:val="16"/>
      </w:rPr>
      <w:t xml:space="preserve">  Generated by Human Chemical · 2026</w:t>
    </w:r>
    <w:r>
      <w:rPr>
        <w:rFonts w:ascii="Calibri" w:eastAsia="Calibri" w:hAnsi="Calibri" w:cs="Calibri"/>
        <w:color w:val="5A5A5A"/>
        <w:sz w:val="16"/>
        <w:szCs w:val="16"/>
      </w:rPr>
      <w:tab/>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 xml:space="preserve"> PAGE </w:instrText>
    </w:r>
    <w:r>
      <w:rPr>
        <w:rFonts w:ascii="Calibri" w:eastAsia="Calibri" w:hAnsi="Calibri" w:cs="Calibri"/>
        <w:color w:val="5A5A5A"/>
        <w:sz w:val="16"/>
        <w:szCs w:val="16"/>
      </w:rPr>
      <w:fldChar w:fldCharType="separate"/>
    </w:r>
    <w:r w:rsidR="008B28B5">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4B4D" w14:textId="77777777" w:rsidR="00203421" w:rsidRDefault="00203421">
      <w:pPr>
        <w:spacing w:after="0" w:line="240" w:lineRule="auto"/>
      </w:pPr>
      <w:r>
        <w:separator/>
      </w:r>
    </w:p>
  </w:footnote>
  <w:footnote w:type="continuationSeparator" w:id="0">
    <w:p w14:paraId="3C9D26F5" w14:textId="77777777" w:rsidR="00203421" w:rsidRDefault="00203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0B29" w14:textId="77777777" w:rsidR="00CA4F2F" w:rsidRDefault="00CA4F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DA7"/>
    <w:multiLevelType w:val="hybridMultilevel"/>
    <w:tmpl w:val="810AC92A"/>
    <w:lvl w:ilvl="0" w:tplc="D3782E86">
      <w:start w:val="1"/>
      <w:numFmt w:val="bullet"/>
      <w:lvlText w:val="•"/>
      <w:lvlJc w:val="left"/>
      <w:pPr>
        <w:ind w:left="720" w:hanging="360"/>
      </w:pPr>
      <w:rPr>
        <w:rFonts w:ascii="Georgia" w:eastAsia="Georgia" w:hAnsi="Georgia" w:cs="Georgia"/>
        <w:color w:val="171717"/>
        <w:sz w:val="20"/>
        <w:szCs w:val="20"/>
      </w:rPr>
    </w:lvl>
    <w:lvl w:ilvl="1" w:tplc="4C364084">
      <w:start w:val="1"/>
      <w:numFmt w:val="bullet"/>
      <w:lvlText w:val="–"/>
      <w:lvlJc w:val="left"/>
      <w:pPr>
        <w:ind w:left="1440" w:hanging="360"/>
      </w:pPr>
      <w:rPr>
        <w:rFonts w:ascii="Georgia" w:eastAsia="Georgia" w:hAnsi="Georgia" w:cs="Georgia"/>
        <w:color w:val="171717"/>
        <w:sz w:val="20"/>
        <w:szCs w:val="20"/>
      </w:rPr>
    </w:lvl>
    <w:lvl w:ilvl="2" w:tplc="7B76EDFC">
      <w:numFmt w:val="decimal"/>
      <w:lvlText w:val=""/>
      <w:lvlJc w:val="left"/>
    </w:lvl>
    <w:lvl w:ilvl="3" w:tplc="906E6ACC">
      <w:numFmt w:val="decimal"/>
      <w:lvlText w:val=""/>
      <w:lvlJc w:val="left"/>
    </w:lvl>
    <w:lvl w:ilvl="4" w:tplc="8C02CD40">
      <w:numFmt w:val="decimal"/>
      <w:lvlText w:val=""/>
      <w:lvlJc w:val="left"/>
    </w:lvl>
    <w:lvl w:ilvl="5" w:tplc="B36021D0">
      <w:numFmt w:val="decimal"/>
      <w:lvlText w:val=""/>
      <w:lvlJc w:val="left"/>
    </w:lvl>
    <w:lvl w:ilvl="6" w:tplc="9C38B2C2">
      <w:numFmt w:val="decimal"/>
      <w:lvlText w:val=""/>
      <w:lvlJc w:val="left"/>
    </w:lvl>
    <w:lvl w:ilvl="7" w:tplc="4D6C8DE8">
      <w:numFmt w:val="decimal"/>
      <w:lvlText w:val=""/>
      <w:lvlJc w:val="left"/>
    </w:lvl>
    <w:lvl w:ilvl="8" w:tplc="A9D61562">
      <w:numFmt w:val="decimal"/>
      <w:lvlText w:val=""/>
      <w:lvlJc w:val="left"/>
    </w:lvl>
  </w:abstractNum>
  <w:abstractNum w:abstractNumId="1" w15:restartNumberingAfterBreak="0">
    <w:nsid w:val="2A902259"/>
    <w:multiLevelType w:val="hybridMultilevel"/>
    <w:tmpl w:val="B10A528E"/>
    <w:lvl w:ilvl="0" w:tplc="8E42125C">
      <w:start w:val="1"/>
      <w:numFmt w:val="decimal"/>
      <w:lvlText w:val="%1."/>
      <w:lvlJc w:val="left"/>
      <w:pPr>
        <w:ind w:left="720" w:hanging="360"/>
      </w:pPr>
      <w:rPr>
        <w:rFonts w:ascii="Georgia" w:eastAsia="Georgia" w:hAnsi="Georgia" w:cs="Georgia"/>
        <w:color w:val="171717"/>
        <w:sz w:val="20"/>
        <w:szCs w:val="20"/>
      </w:rPr>
    </w:lvl>
    <w:lvl w:ilvl="1" w:tplc="CB96EAC4">
      <w:start w:val="1"/>
      <w:numFmt w:val="lowerLetter"/>
      <w:lvlText w:val="%2."/>
      <w:lvlJc w:val="left"/>
      <w:pPr>
        <w:ind w:left="1440" w:hanging="360"/>
      </w:pPr>
      <w:rPr>
        <w:rFonts w:ascii="Georgia" w:eastAsia="Georgia" w:hAnsi="Georgia" w:cs="Georgia"/>
        <w:color w:val="171717"/>
        <w:sz w:val="20"/>
        <w:szCs w:val="20"/>
      </w:rPr>
    </w:lvl>
    <w:lvl w:ilvl="2" w:tplc="E03AA1B6">
      <w:numFmt w:val="decimal"/>
      <w:lvlText w:val=""/>
      <w:lvlJc w:val="left"/>
    </w:lvl>
    <w:lvl w:ilvl="3" w:tplc="46C41B02">
      <w:numFmt w:val="decimal"/>
      <w:lvlText w:val=""/>
      <w:lvlJc w:val="left"/>
    </w:lvl>
    <w:lvl w:ilvl="4" w:tplc="6CB0F59E">
      <w:numFmt w:val="decimal"/>
      <w:lvlText w:val=""/>
      <w:lvlJc w:val="left"/>
    </w:lvl>
    <w:lvl w:ilvl="5" w:tplc="382AF9D0">
      <w:numFmt w:val="decimal"/>
      <w:lvlText w:val=""/>
      <w:lvlJc w:val="left"/>
    </w:lvl>
    <w:lvl w:ilvl="6" w:tplc="32AAEDB4">
      <w:numFmt w:val="decimal"/>
      <w:lvlText w:val=""/>
      <w:lvlJc w:val="left"/>
    </w:lvl>
    <w:lvl w:ilvl="7" w:tplc="92FE9616">
      <w:numFmt w:val="decimal"/>
      <w:lvlText w:val=""/>
      <w:lvlJc w:val="left"/>
    </w:lvl>
    <w:lvl w:ilvl="8" w:tplc="7936A8E6">
      <w:numFmt w:val="decimal"/>
      <w:lvlText w:val=""/>
      <w:lvlJc w:val="left"/>
    </w:lvl>
  </w:abstractNum>
  <w:abstractNum w:abstractNumId="2" w15:restartNumberingAfterBreak="0">
    <w:nsid w:val="7C330094"/>
    <w:multiLevelType w:val="hybridMultilevel"/>
    <w:tmpl w:val="C41CFFE0"/>
    <w:lvl w:ilvl="0" w:tplc="EE26D920">
      <w:start w:val="1"/>
      <w:numFmt w:val="bullet"/>
      <w:lvlText w:val="●"/>
      <w:lvlJc w:val="left"/>
      <w:pPr>
        <w:ind w:left="720" w:hanging="360"/>
      </w:pPr>
    </w:lvl>
    <w:lvl w:ilvl="1" w:tplc="4CFA99D8">
      <w:start w:val="1"/>
      <w:numFmt w:val="bullet"/>
      <w:lvlText w:val="○"/>
      <w:lvlJc w:val="left"/>
      <w:pPr>
        <w:ind w:left="1440" w:hanging="360"/>
      </w:pPr>
    </w:lvl>
    <w:lvl w:ilvl="2" w:tplc="8012CCF0">
      <w:start w:val="1"/>
      <w:numFmt w:val="bullet"/>
      <w:lvlText w:val="■"/>
      <w:lvlJc w:val="left"/>
      <w:pPr>
        <w:ind w:left="2160" w:hanging="360"/>
      </w:pPr>
    </w:lvl>
    <w:lvl w:ilvl="3" w:tplc="AA0E7960">
      <w:start w:val="1"/>
      <w:numFmt w:val="bullet"/>
      <w:lvlText w:val="●"/>
      <w:lvlJc w:val="left"/>
      <w:pPr>
        <w:ind w:left="2880" w:hanging="360"/>
      </w:pPr>
    </w:lvl>
    <w:lvl w:ilvl="4" w:tplc="D8164C58">
      <w:start w:val="1"/>
      <w:numFmt w:val="bullet"/>
      <w:lvlText w:val="○"/>
      <w:lvlJc w:val="left"/>
      <w:pPr>
        <w:ind w:left="3600" w:hanging="360"/>
      </w:pPr>
    </w:lvl>
    <w:lvl w:ilvl="5" w:tplc="2FCADF7C">
      <w:start w:val="1"/>
      <w:numFmt w:val="bullet"/>
      <w:lvlText w:val="■"/>
      <w:lvlJc w:val="left"/>
      <w:pPr>
        <w:ind w:left="4320" w:hanging="360"/>
      </w:pPr>
    </w:lvl>
    <w:lvl w:ilvl="6" w:tplc="4274CBEE">
      <w:start w:val="1"/>
      <w:numFmt w:val="bullet"/>
      <w:lvlText w:val="●"/>
      <w:lvlJc w:val="left"/>
      <w:pPr>
        <w:ind w:left="5040" w:hanging="360"/>
      </w:pPr>
    </w:lvl>
    <w:lvl w:ilvl="7" w:tplc="0CBC0406">
      <w:start w:val="1"/>
      <w:numFmt w:val="bullet"/>
      <w:lvlText w:val="●"/>
      <w:lvlJc w:val="left"/>
      <w:pPr>
        <w:ind w:left="5760" w:hanging="360"/>
      </w:pPr>
    </w:lvl>
    <w:lvl w:ilvl="8" w:tplc="98F22C94">
      <w:start w:val="1"/>
      <w:numFmt w:val="bullet"/>
      <w:lvlText w:val="●"/>
      <w:lvlJc w:val="left"/>
      <w:pPr>
        <w:ind w:left="6480" w:hanging="360"/>
      </w:pPr>
    </w:lvl>
  </w:abstractNum>
  <w:num w:numId="1" w16cid:durableId="364404752">
    <w:abstractNumId w:val="2"/>
    <w:lvlOverride w:ilvl="0">
      <w:startOverride w:val="1"/>
    </w:lvlOverride>
  </w:num>
  <w:num w:numId="2" w16cid:durableId="1665432008">
    <w:abstractNumId w:val="0"/>
    <w:lvlOverride w:ilvl="0">
      <w:startOverride w:val="1"/>
    </w:lvlOverride>
  </w:num>
  <w:num w:numId="3" w16cid:durableId="1726181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2F"/>
    <w:rsid w:val="00203421"/>
    <w:rsid w:val="00857AD0"/>
    <w:rsid w:val="008B28B5"/>
    <w:rsid w:val="00CA4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F032"/>
  <w15:docId w15:val="{98ED553B-75B2-49B1-AB48-CA6291D7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71717"/>
        <w:lang w:val="en-US" w:eastAsia="en-US" w:bidi="ar-SA"/>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Arial" w:eastAsia="Arial" w:hAnsi="Arial" w:cs="Arial"/>
      <w:color w:val="1A1A1A"/>
      <w:sz w:val="21"/>
    </w:rPr>
  </w:style>
  <w:style w:type="paragraph" w:styleId="Heading1">
    <w:name w:val="heading 1"/>
    <w:basedOn w:val="Normal"/>
    <w:next w:val="Normal"/>
    <w:uiPriority w:val="9"/>
    <w:qFormat/>
    <w:pPr>
      <w:keepNext/>
      <w:keepLines/>
      <w:pBdr>
        <w:bottom w:val="single" w:sz="8" w:space="4" w:color="1F5132"/>
      </w:pBdr>
      <w:spacing w:before="280" w:after="160"/>
      <w:outlineLvl w:val="0"/>
    </w:pPr>
    <w:rPr>
      <w:b/>
      <w:color w:val="1F5132"/>
      <w:sz w:val="30"/>
      <w:szCs w:val="28"/>
    </w:rPr>
  </w:style>
  <w:style w:type="paragraph" w:styleId="Heading2">
    <w:name w:val="heading 2"/>
    <w:basedOn w:val="Normal"/>
    <w:next w:val="Normal"/>
    <w:uiPriority w:val="9"/>
    <w:unhideWhenUsed/>
    <w:qFormat/>
    <w:pPr>
      <w:keepNext/>
      <w:keepLines/>
      <w:spacing w:before="220" w:after="120"/>
      <w:outlineLvl w:val="1"/>
    </w:pPr>
    <w:rPr>
      <w:b/>
      <w:sz w:val="25"/>
      <w:szCs w:val="24"/>
    </w:rPr>
  </w:style>
  <w:style w:type="paragraph" w:styleId="Heading3">
    <w:name w:val="heading 3"/>
    <w:basedOn w:val="Normal"/>
    <w:next w:val="Normal"/>
    <w:uiPriority w:val="9"/>
    <w:unhideWhenUsed/>
    <w:qFormat/>
    <w:pPr>
      <w:keepNext/>
      <w:keepLines/>
      <w:spacing w:before="160" w:after="80"/>
      <w:outlineLvl w:val="2"/>
    </w:pPr>
    <w:rPr>
      <w:b/>
      <w:color w:val="1F5132"/>
      <w:sz w:val="22"/>
      <w:szCs w:val="22"/>
    </w:rPr>
  </w:style>
  <w:style w:type="paragraph" w:styleId="Heading4">
    <w:name w:val="heading 4"/>
    <w:basedOn w:val="Normal"/>
    <w:next w:val="Normal"/>
    <w:uiPriority w:val="9"/>
    <w:semiHidden/>
    <w:unhideWhenUsed/>
    <w:qFormat/>
    <w:pPr>
      <w:keepNext/>
      <w:keepLines/>
      <w:outlineLvl w:val="3"/>
    </w:pPr>
    <w:rPr>
      <w:b/>
      <w:i/>
      <w:iCs/>
      <w:color w:val="171717"/>
    </w:rPr>
  </w:style>
  <w:style w:type="paragraph" w:styleId="Heading5">
    <w:name w:val="heading 5"/>
    <w:basedOn w:val="Normal"/>
    <w:next w:val="Normal"/>
    <w:uiPriority w:val="9"/>
    <w:semiHidden/>
    <w:unhideWhenUsed/>
    <w:qFormat/>
    <w:pPr>
      <w:keepNext/>
      <w:keepLines/>
      <w:outlineLvl w:val="4"/>
    </w:pPr>
    <w:rPr>
      <w:b/>
      <w:color w:val="171717"/>
    </w:rPr>
  </w:style>
  <w:style w:type="paragraph" w:styleId="Heading6">
    <w:name w:val="heading 6"/>
    <w:basedOn w:val="Normal"/>
    <w:next w:val="Normal"/>
    <w:uiPriority w:val="9"/>
    <w:semiHidden/>
    <w:unhideWhenUsed/>
    <w:qFormat/>
    <w:pPr>
      <w:keepNext/>
      <w:keepLines/>
      <w:outlineLvl w:val="5"/>
    </w:pPr>
    <w:rPr>
      <w:b/>
      <w:color w:val="17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1F5132"/>
      <w:sz w:val="44"/>
      <w:szCs w:val="4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1F5132"/>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qFormat/>
    <w:pPr>
      <w:pBdr>
        <w:left w:val="single" w:sz="12" w:space="8" w:color="E8E8E8"/>
      </w:pBdr>
      <w:spacing w:before="120" w:after="120" w:line="380" w:lineRule="exact"/>
      <w:ind w:left="480"/>
    </w:pPr>
    <w:rPr>
      <w:color w:val="5A6470"/>
      <w:sz w:val="20"/>
    </w:rPr>
  </w:style>
  <w:style w:type="paragraph" w:customStyle="1" w:styleId="TableHeader">
    <w:name w:val="Table Header"/>
    <w:basedOn w:val="Normal"/>
    <w:qFormat/>
    <w:pPr>
      <w:spacing w:before="40" w:after="40" w:line="240" w:lineRule="auto"/>
    </w:pPr>
    <w:rPr>
      <w:b/>
      <w:bCs/>
      <w:color w:val="FFFFFF"/>
      <w:sz w:val="20"/>
      <w:szCs w:val="17"/>
    </w:rPr>
  </w:style>
  <w:style w:type="paragraph" w:customStyle="1" w:styleId="TableBody">
    <w:name w:val="Table Body"/>
    <w:basedOn w:val="Normal"/>
    <w:qFormat/>
    <w:pPr>
      <w:spacing w:before="40" w:after="40" w:line="260" w:lineRule="auto"/>
    </w:pPr>
    <w:rPr>
      <w:sz w:val="20"/>
    </w:rPr>
  </w:style>
  <w:style w:type="paragraph" w:customStyle="1" w:styleId="CodeBlock">
    <w:name w:val="Code Block"/>
    <w:basedOn w:val="Normal"/>
    <w:qFormat/>
    <w:pPr>
      <w:spacing w:before="80" w:after="80" w:line="260" w:lineRule="auto"/>
    </w:pPr>
    <w:rPr>
      <w:rFonts w:ascii="Courier New" w:eastAsia="Courier New" w:hAnsi="Courier New" w:cs="Courier New"/>
      <w:color w:val="171717"/>
      <w:sz w:val="18"/>
      <w:szCs w:val="18"/>
    </w:rPr>
  </w:style>
  <w:style w:type="character" w:customStyle="1" w:styleId="InlineCode">
    <w:name w:val="Inline Code"/>
    <w:uiPriority w:val="99"/>
    <w:unhideWhenUsed/>
    <w:rPr>
      <w:rFonts w:ascii="Courier New" w:eastAsia="Courier New" w:hAnsi="Courier New" w:cs="Courier New"/>
      <w:color w:val="171717"/>
      <w:sz w:val="18"/>
      <w:szCs w:val="18"/>
      <w:shd w:val="clear" w:color="auto" w:fill="F2F1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file:///C:\Users\Scott.Coffin\Downloads\25819" TargetMode="External"/><Relationship Id="rId21" Type="http://schemas.openxmlformats.org/officeDocument/2006/relationships/hyperlink" Target="file:///C:\Users\Scott.Coffin\Downloads\25819" TargetMode="External"/><Relationship Id="rId42" Type="http://schemas.openxmlformats.org/officeDocument/2006/relationships/hyperlink" Target="https://www.sciencedirect.com/science/article/pii/S209517792500228X" TargetMode="External"/><Relationship Id="rId47" Type="http://schemas.openxmlformats.org/officeDocument/2006/relationships/hyperlink" Target="https://colab.ws/articles/10.1186%2Fs13321-024-00937-7" TargetMode="External"/><Relationship Id="rId63" Type="http://schemas.openxmlformats.org/officeDocument/2006/relationships/hyperlink" Target="https://pmc.ncbi.nlm.nih.gov/articles/PMC9293739/" TargetMode="External"/><Relationship Id="rId68" Type="http://schemas.openxmlformats.org/officeDocument/2006/relationships/hyperlink" Target="https://www.semanticscholar.org/paper/ADMETlab-3.0:-an-updated-comprehensive-online-ADMET-Fu-Shi/c93bac2e963f00565469296b94e71e6871d0a214" TargetMode="External"/><Relationship Id="rId84" Type="http://schemas.openxmlformats.org/officeDocument/2006/relationships/hyperlink" Target="https://pmc.ncbi.nlm.nih.gov/articles/PMC9293739/" TargetMode="External"/><Relationship Id="rId89" Type="http://schemas.openxmlformats.org/officeDocument/2006/relationships/hyperlink" Target="https://pubmed.ncbi.nlm.nih.gov/38147829/" TargetMode="External"/><Relationship Id="rId16" Type="http://schemas.openxmlformats.org/officeDocument/2006/relationships/hyperlink" Target="file:///C:\Users\Scott.Coffin\Downloads\25819" TargetMode="External"/><Relationship Id="rId107" Type="http://schemas.openxmlformats.org/officeDocument/2006/relationships/hyperlink" Target="https://www.alphaxiv.org/abs/2506.15792" TargetMode="External"/><Relationship Id="rId11" Type="http://schemas.openxmlformats.org/officeDocument/2006/relationships/hyperlink" Target="https://www.schrodinger.com/life-science/learn/white-papers/benchmark-study-deepautoqsar-chemprop-and-deeppurpose-admet-subset-therapeutic-data/" TargetMode="External"/><Relationship Id="rId32" Type="http://schemas.openxmlformats.org/officeDocument/2006/relationships/hyperlink" Target="https://nanohub.org/resources/autoqsar" TargetMode="External"/><Relationship Id="rId37" Type="http://schemas.openxmlformats.org/officeDocument/2006/relationships/hyperlink" Target="https://gist.science/paper/bio/10.64898/2026.02.26.708193" TargetMode="External"/><Relationship Id="rId53" Type="http://schemas.openxmlformats.org/officeDocument/2006/relationships/hyperlink" Target="file:///C:\Users\Scott.Coffin\Downloads\25819" TargetMode="External"/><Relationship Id="rId58" Type="http://schemas.openxmlformats.org/officeDocument/2006/relationships/hyperlink" Target="file:///C:\Users\Scott.Coffin\Downloads\25819" TargetMode="External"/><Relationship Id="rId74" Type="http://schemas.openxmlformats.org/officeDocument/2006/relationships/hyperlink" Target="https://pubmed.ncbi.nlm.nih.gov/15286737" TargetMode="External"/><Relationship Id="rId79" Type="http://schemas.openxmlformats.org/officeDocument/2006/relationships/hyperlink" Target="https://orcid.org/0000-0002-6748-8931" TargetMode="External"/><Relationship Id="rId102" Type="http://schemas.openxmlformats.org/officeDocument/2006/relationships/hyperlink" Target="https://orcid.org/0000-0002-6748-8931" TargetMode="External"/><Relationship Id="rId5" Type="http://schemas.openxmlformats.org/officeDocument/2006/relationships/footnotes" Target="footnotes.xml"/><Relationship Id="rId90" Type="http://schemas.openxmlformats.org/officeDocument/2006/relationships/hyperlink" Target="https://www.alphaxiv.org/abs/2506.15792" TargetMode="External"/><Relationship Id="rId95" Type="http://schemas.openxmlformats.org/officeDocument/2006/relationships/hyperlink" Target="https://www.schrodinger.com/life-science/learn/white-papers/benchmark-study-deepautoqsar-chemprop-and-deeppurpose-admet-subset-therapeutic-data/" TargetMode="External"/><Relationship Id="rId22" Type="http://schemas.openxmlformats.org/officeDocument/2006/relationships/hyperlink" Target="file:///C:\Users\Scott.Coffin\Downloads\25819" TargetMode="External"/><Relationship Id="rId27" Type="http://schemas.openxmlformats.org/officeDocument/2006/relationships/hyperlink" Target="https://www.scribd.com/document/896167842/Machine-Learning-in-Chemoinformatics-and-Medicinal-Chemistry" TargetMode="External"/><Relationship Id="rId43" Type="http://schemas.openxmlformats.org/officeDocument/2006/relationships/hyperlink" Target="https://orcid.org/0000-0002-6748-8931" TargetMode="External"/><Relationship Id="rId48" Type="http://schemas.openxmlformats.org/officeDocument/2006/relationships/hyperlink" Target="https://pubs.acs.org/doi/abs/10.1021/acs.jcim.5c00516" TargetMode="External"/><Relationship Id="rId64" Type="http://schemas.openxmlformats.org/officeDocument/2006/relationships/hyperlink" Target="https://www.cs.kent.ac.uk/people/staff/aaf/pub_papers.dir/Int-J-Pharmaceutics-2012-Ghafourian.pdf" TargetMode="External"/><Relationship Id="rId69" Type="http://schemas.openxmlformats.org/officeDocument/2006/relationships/hyperlink" Target="https://pubmed.ncbi.nlm.nih.gov/15286737" TargetMode="External"/><Relationship Id="rId80" Type="http://schemas.openxmlformats.org/officeDocument/2006/relationships/hyperlink" Target="https://orcid.org/0000-0002-6748-8931" TargetMode="External"/><Relationship Id="rId85" Type="http://schemas.openxmlformats.org/officeDocument/2006/relationships/hyperlink" Target="https://pubs.acs.org/doi/abs/10.1021/acs.jcim.5c00516" TargetMode="External"/><Relationship Id="rId12" Type="http://schemas.openxmlformats.org/officeDocument/2006/relationships/hyperlink" Target="file:///C:\Users\Scott.Coffin\Downloads\25819" TargetMode="External"/><Relationship Id="rId17" Type="http://schemas.openxmlformats.org/officeDocument/2006/relationships/hyperlink" Target="https://academic.oup.com/bioinformatics/article/40/7/btae416/7698030" TargetMode="External"/><Relationship Id="rId33" Type="http://schemas.openxmlformats.org/officeDocument/2006/relationships/hyperlink" Target="https://pmc.ncbi.nlm.nih.gov/articles/PMC2697629/" TargetMode="External"/><Relationship Id="rId38" Type="http://schemas.openxmlformats.org/officeDocument/2006/relationships/hyperlink" Target="https://academic.oup.com/nar/article/52/W1/W422/7640525" TargetMode="External"/><Relationship Id="rId59" Type="http://schemas.openxmlformats.org/officeDocument/2006/relationships/hyperlink" Target="file:///C:\Users\Scott.Coffin\Downloads\25819" TargetMode="External"/><Relationship Id="rId103" Type="http://schemas.openxmlformats.org/officeDocument/2006/relationships/hyperlink" Target="https://arxiv.org/pdf/2502.16378" TargetMode="External"/><Relationship Id="rId108" Type="http://schemas.openxmlformats.org/officeDocument/2006/relationships/header" Target="header1.xml"/><Relationship Id="rId54" Type="http://schemas.openxmlformats.org/officeDocument/2006/relationships/hyperlink" Target="file:///C:\Users\Scott.Coffin\Downloads\25819" TargetMode="External"/><Relationship Id="rId70" Type="http://schemas.openxmlformats.org/officeDocument/2006/relationships/hyperlink" Target="https://pmc.ncbi.nlm.nih.gov/articles/PMC11557931/" TargetMode="External"/><Relationship Id="rId75" Type="http://schemas.openxmlformats.org/officeDocument/2006/relationships/hyperlink" Target="https://chemrxiv.org/engage/api-gateway/chemrxiv/assets/orp/resource/item/60c755bf842e65adc6db4393/original/efficient-exploration-of-chemical-space-with-docking-and-deep-learning.pdf" TargetMode="External"/><Relationship Id="rId91" Type="http://schemas.openxmlformats.org/officeDocument/2006/relationships/hyperlink" Target="https://pmc.ncbi.nlm.nih.gov/articles/PMC13425739/" TargetMode="External"/><Relationship Id="rId96" Type="http://schemas.openxmlformats.org/officeDocument/2006/relationships/hyperlink" Target="https://academic.oup.com/bioinformatics/article/40/7/btae416/769803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Scott.Coffin\Downloads\25819" TargetMode="External"/><Relationship Id="rId23" Type="http://schemas.openxmlformats.org/officeDocument/2006/relationships/hyperlink" Target="https://gist.science/paper/bio/10.64898/2026.02.26.708193" TargetMode="External"/><Relationship Id="rId28" Type="http://schemas.openxmlformats.org/officeDocument/2006/relationships/hyperlink" Target="https://www.nature.com/articles/s41467-023-41948-6" TargetMode="External"/><Relationship Id="rId36" Type="http://schemas.openxmlformats.org/officeDocument/2006/relationships/hyperlink" Target="https://pmc.ncbi.nlm.nih.gov/articles/PMC11557931/" TargetMode="External"/><Relationship Id="rId49" Type="http://schemas.openxmlformats.org/officeDocument/2006/relationships/hyperlink" Target="https://arxiv.org/pdf/2502.16378" TargetMode="External"/><Relationship Id="rId57" Type="http://schemas.openxmlformats.org/officeDocument/2006/relationships/hyperlink" Target="file:///C:\Users\Scott.Coffin\Downloads\25819" TargetMode="External"/><Relationship Id="rId106" Type="http://schemas.openxmlformats.org/officeDocument/2006/relationships/hyperlink" Target="https://github.com/deepmodeling/Uni-Mol/blob/main/README.md" TargetMode="External"/><Relationship Id="rId10" Type="http://schemas.openxmlformats.org/officeDocument/2006/relationships/hyperlink" Target="https://arxiv.org/pdf/1711.02639" TargetMode="External"/><Relationship Id="rId31" Type="http://schemas.openxmlformats.org/officeDocument/2006/relationships/hyperlink" Target="https://www.semanticscholar.org/paper/ADMETlab-3.0:-an-updated-comprehensive-online-ADMET-Fu-Shi/c93bac2e963f00565469296b94e71e6871d0a214" TargetMode="External"/><Relationship Id="rId44" Type="http://schemas.openxmlformats.org/officeDocument/2006/relationships/hyperlink" Target="https://orcid.org/0000-0002-6748-8931" TargetMode="External"/><Relationship Id="rId52" Type="http://schemas.openxmlformats.org/officeDocument/2006/relationships/hyperlink" Target="https://www.tandfonline.com/doi/full/10.4155/fmc-2016-0093" TargetMode="External"/><Relationship Id="rId60" Type="http://schemas.openxmlformats.org/officeDocument/2006/relationships/hyperlink" Target="https://www.tandfonline.com/doi/full/10.4155/fmc-2016-0093" TargetMode="External"/><Relationship Id="rId65" Type="http://schemas.openxmlformats.org/officeDocument/2006/relationships/hyperlink" Target="https://academic.oup.com/bioinformatics/article/40/7/btae416/7698030" TargetMode="External"/><Relationship Id="rId73" Type="http://schemas.openxmlformats.org/officeDocument/2006/relationships/hyperlink" Target="https://nanohub.org/resources/autoqsar" TargetMode="External"/><Relationship Id="rId78" Type="http://schemas.openxmlformats.org/officeDocument/2006/relationships/hyperlink" Target="https://www.sciencedirect.com/science/article/pii/S209517792500228X" TargetMode="External"/><Relationship Id="rId81" Type="http://schemas.openxmlformats.org/officeDocument/2006/relationships/hyperlink" Target="https://academic.oup.com/bioinformatics/article/40/7/btae416/7698030" TargetMode="External"/><Relationship Id="rId86" Type="http://schemas.openxmlformats.org/officeDocument/2006/relationships/hyperlink" Target="https://proceedings.neurips.cc/paper_files/paper/2024/file/53923bb44655a7defb31c7744c01b62b-Paper-Conference.pdf" TargetMode="External"/><Relationship Id="rId94" Type="http://schemas.openxmlformats.org/officeDocument/2006/relationships/hyperlink" Target="https://arxiv.org/pdf/1711.02639" TargetMode="External"/><Relationship Id="rId99" Type="http://schemas.openxmlformats.org/officeDocument/2006/relationships/hyperlink" Target="https://www.semanticscholar.org/paper/ADMETlab-3.0:-an-updated-comprehensive-online-ADMET-Fu-Shi/c93bac2e963f00565469296b94e71e6871d0a214" TargetMode="External"/><Relationship Id="rId101" Type="http://schemas.openxmlformats.org/officeDocument/2006/relationships/hyperlink" Target="https://www.sciencedirect.com/science/article/pii/S209517792500228X" TargetMode="External"/><Relationship Id="rId4" Type="http://schemas.openxmlformats.org/officeDocument/2006/relationships/webSettings" Target="webSettings.xml"/><Relationship Id="rId9" Type="http://schemas.openxmlformats.org/officeDocument/2006/relationships/hyperlink" Target="https://chemrxiv.org/engage/api-gateway/chemrxiv/assets/orp/resource/item/60c755bf842e65adc6db4393/original/efficient-exploration-of-chemical-space-with-docking-and-deep-learning.pdf" TargetMode="External"/><Relationship Id="rId13" Type="http://schemas.openxmlformats.org/officeDocument/2006/relationships/hyperlink" Target="file:///C:\Users\Scott.Coffin\Downloads\25819" TargetMode="External"/><Relationship Id="rId18" Type="http://schemas.openxmlformats.org/officeDocument/2006/relationships/hyperlink" Target="https://colab.ws/articles/10.1186%2Fs13321-024-00937-7" TargetMode="External"/><Relationship Id="rId39" Type="http://schemas.openxmlformats.org/officeDocument/2006/relationships/hyperlink" Target="http://arxiv.org/pdf/2310.00174" TargetMode="External"/><Relationship Id="rId109" Type="http://schemas.openxmlformats.org/officeDocument/2006/relationships/footer" Target="footer1.xml"/><Relationship Id="rId34" Type="http://schemas.openxmlformats.org/officeDocument/2006/relationships/hyperlink" Target="https://pubmed.ncbi.nlm.nih.gov/15286737" TargetMode="External"/><Relationship Id="rId50" Type="http://schemas.openxmlformats.org/officeDocument/2006/relationships/hyperlink" Target="https://pmc.ncbi.nlm.nih.gov/articles/PMC9293739/" TargetMode="External"/><Relationship Id="rId55" Type="http://schemas.openxmlformats.org/officeDocument/2006/relationships/hyperlink" Target="file:///C:\Users\Scott.Coffin\Downloads\25819" TargetMode="External"/><Relationship Id="rId76" Type="http://schemas.openxmlformats.org/officeDocument/2006/relationships/hyperlink" Target="file:///C:\Users\Scott.Coffin\Downloads\25819" TargetMode="External"/><Relationship Id="rId97" Type="http://schemas.openxmlformats.org/officeDocument/2006/relationships/hyperlink" Target="https://colab.ws/articles/10.1186%2Fs13321-024-00937-7" TargetMode="External"/><Relationship Id="rId104" Type="http://schemas.openxmlformats.org/officeDocument/2006/relationships/hyperlink" Target="https://www.cs.kent.ac.uk/people/staff/aaf/pub_papers.dir/Int-J-Pharmaceutics-2012-Ghafourian.pdf" TargetMode="External"/><Relationship Id="rId7" Type="http://schemas.openxmlformats.org/officeDocument/2006/relationships/hyperlink" Target="https://www.tandfonline.com/doi/full/10.4155/fmc-2016-0093" TargetMode="External"/><Relationship Id="rId71" Type="http://schemas.openxmlformats.org/officeDocument/2006/relationships/hyperlink" Target="https://www.cs.kent.ac.uk/people/staff/aaf/pub_papers.dir/Int-J-Pharmaceutics-2012-Ghafourian.pdf" TargetMode="External"/><Relationship Id="rId92" Type="http://schemas.openxmlformats.org/officeDocument/2006/relationships/hyperlink" Target="https://nanohub.org/resources/autoqsar" TargetMode="External"/><Relationship Id="rId2" Type="http://schemas.openxmlformats.org/officeDocument/2006/relationships/styles" Target="styles.xml"/><Relationship Id="rId29" Type="http://schemas.openxmlformats.org/officeDocument/2006/relationships/hyperlink" Target="https://www.tandfonline.com/doi/full/10.4155/fmc-2016-0093" TargetMode="External"/><Relationship Id="rId24" Type="http://schemas.openxmlformats.org/officeDocument/2006/relationships/hyperlink" Target="https://gist.science/paper/bio/10.64898/2026.02.26.708193" TargetMode="External"/><Relationship Id="rId40" Type="http://schemas.openxmlformats.org/officeDocument/2006/relationships/hyperlink" Target="https://pmc.ncbi.nlm.nih.gov/articles/PMC2697629/" TargetMode="External"/><Relationship Id="rId45" Type="http://schemas.openxmlformats.org/officeDocument/2006/relationships/hyperlink" Target="https://academic.oup.com/bioinformatics/article/40/7/btae416/7698030" TargetMode="External"/><Relationship Id="rId66" Type="http://schemas.openxmlformats.org/officeDocument/2006/relationships/hyperlink" Target="https://colab.ws/articles/10.1186%2Fs13321-024-00937-7" TargetMode="External"/><Relationship Id="rId87" Type="http://schemas.openxmlformats.org/officeDocument/2006/relationships/hyperlink" Target="https://github.com/deepmodeling/Uni-Mol/blob/main/README.md" TargetMode="External"/><Relationship Id="rId110" Type="http://schemas.openxmlformats.org/officeDocument/2006/relationships/fontTable" Target="fontTable.xml"/><Relationship Id="rId61" Type="http://schemas.openxmlformats.org/officeDocument/2006/relationships/hyperlink" Target="https://nanohub.org/resources/autoqsar" TargetMode="External"/><Relationship Id="rId82" Type="http://schemas.openxmlformats.org/officeDocument/2006/relationships/hyperlink" Target="https://arxiv.org/pdf/2502.16378" TargetMode="External"/><Relationship Id="rId19" Type="http://schemas.openxmlformats.org/officeDocument/2006/relationships/hyperlink" Target="file:///C:\Users\Scott.Coffin\Downloads\25819" TargetMode="External"/><Relationship Id="rId14" Type="http://schemas.openxmlformats.org/officeDocument/2006/relationships/hyperlink" Target="file:///C:\Users\Scott.Coffin\Downloads\25819" TargetMode="External"/><Relationship Id="rId30" Type="http://schemas.openxmlformats.org/officeDocument/2006/relationships/hyperlink" Target="https://academic.oup.com/nar/article/52/W1/W422/7640525" TargetMode="External"/><Relationship Id="rId35" Type="http://schemas.openxmlformats.org/officeDocument/2006/relationships/hyperlink" Target="file:///C:\Users\Scott.Coffin\Downloads\25819" TargetMode="External"/><Relationship Id="rId56" Type="http://schemas.openxmlformats.org/officeDocument/2006/relationships/hyperlink" Target="file:///C:\Users\Scott.Coffin\Downloads\25819" TargetMode="External"/><Relationship Id="rId77" Type="http://schemas.openxmlformats.org/officeDocument/2006/relationships/hyperlink" Target="https://pmc.ncbi.nlm.nih.gov/articles/PMC11557931/" TargetMode="External"/><Relationship Id="rId100" Type="http://schemas.openxmlformats.org/officeDocument/2006/relationships/hyperlink" Target="http://arxiv.org/pdf/2310.00174" TargetMode="External"/><Relationship Id="rId105" Type="http://schemas.openxmlformats.org/officeDocument/2006/relationships/hyperlink" Target="https://proceedings.neurips.cc/paper_files/paper/2024/file/53923bb44655a7defb31c7744c01b62b-Paper-Conference.pdf" TargetMode="External"/><Relationship Id="rId8" Type="http://schemas.openxmlformats.org/officeDocument/2006/relationships/hyperlink" Target="https://nanohub.org/resources/autoqsar" TargetMode="External"/><Relationship Id="rId51" Type="http://schemas.openxmlformats.org/officeDocument/2006/relationships/hyperlink" Target="file:///C:\Users\Scott.Coffin\Downloads\25819" TargetMode="External"/><Relationship Id="rId72" Type="http://schemas.openxmlformats.org/officeDocument/2006/relationships/hyperlink" Target="https://www.tandfonline.com/doi/full/10.4155/fmc-2016-0093" TargetMode="External"/><Relationship Id="rId93" Type="http://schemas.openxmlformats.org/officeDocument/2006/relationships/hyperlink" Target="https://chemrxiv.org/engage/api-gateway/chemrxiv/assets/orp/resource/item/60c755bf842e65adc6db4393/original/efficient-exploration-of-chemical-space-with-docking-and-deep-learning.pdf" TargetMode="External"/><Relationship Id="rId98" Type="http://schemas.openxmlformats.org/officeDocument/2006/relationships/hyperlink" Target="https://www.scribd.com/document/896167842/Machine-Learning-in-Chemoinformatics-and-Medicinal-Chemistry" TargetMode="External"/><Relationship Id="rId3" Type="http://schemas.openxmlformats.org/officeDocument/2006/relationships/settings" Target="settings.xml"/><Relationship Id="rId25" Type="http://schemas.openxmlformats.org/officeDocument/2006/relationships/hyperlink" Target="file:///C:\Users\Scott.Coffin\Downloads\25819" TargetMode="External"/><Relationship Id="rId46" Type="http://schemas.openxmlformats.org/officeDocument/2006/relationships/hyperlink" Target="https://arxiv.org/pdf/2502.16378" TargetMode="External"/><Relationship Id="rId67" Type="http://schemas.openxmlformats.org/officeDocument/2006/relationships/hyperlink" Target="https://gist.science/paper/bio/10.64898/2026.02.26.708193" TargetMode="External"/><Relationship Id="rId20" Type="http://schemas.openxmlformats.org/officeDocument/2006/relationships/hyperlink" Target="file:///C:\Users\Scott.Coffin\Downloads\25819" TargetMode="External"/><Relationship Id="rId41" Type="http://schemas.openxmlformats.org/officeDocument/2006/relationships/hyperlink" Target="https://www.sciencedirect.com/science/article/pii/S209517792500228X" TargetMode="External"/><Relationship Id="rId62" Type="http://schemas.openxmlformats.org/officeDocument/2006/relationships/hyperlink" Target="https://pmc.ncbi.nlm.nih.gov/articles/PMC9293739/" TargetMode="External"/><Relationship Id="rId83" Type="http://schemas.openxmlformats.org/officeDocument/2006/relationships/hyperlink" Target="https://colab.ws/articles/10.1186%2Fs13321-024-00937-7" TargetMode="External"/><Relationship Id="rId88" Type="http://schemas.openxmlformats.org/officeDocument/2006/relationships/hyperlink" Target="https://pubmed.ncbi.nlm.nih.gov/41453060/" TargetMode="External"/><Relationship Id="rId11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6171</Words>
  <Characters>35178</Characters>
  <Application>Microsoft Office Word</Application>
  <DocSecurity>0</DocSecurity>
  <Lines>293</Lines>
  <Paragraphs>82</Paragraphs>
  <ScaleCrop>false</ScaleCrop>
  <Company/>
  <LinksUpToDate>false</LinksUpToDate>
  <CharactersWithSpaces>41267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Coffin, Scott@OEHHA</cp:lastModifiedBy>
  <cp:revision>1</cp:revision>
  <dcterms:created xsi:type="dcterms:W3CDTF">2026-03-05T17:19:00Z</dcterms:created>
  <dcterms:modified xsi:type="dcterms:W3CDTF">2026-09-25T15:00:00Z</dcterms:modified>
</cp:coreProperties>
</file>