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2598A" w14:textId="77777777" w:rsidR="00B848FD" w:rsidRDefault="00B76850">
      <w:pPr>
        <w:pStyle w:val="Heading1"/>
      </w:pPr>
      <w:r>
        <w:t xml:space="preserve">QSARena — IDE Agent Work Order (Manuscript 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 xml:space="preserve"> + Code, with Tests &amp; Verification)</w:t>
      </w:r>
    </w:p>
    <w:p w14:paraId="3D31EB95" w14:textId="77777777" w:rsidR="00B848FD" w:rsidRDefault="00B76850">
      <w:r>
        <w:rPr>
          <w:b/>
        </w:rPr>
        <w:t>Repo:</w:t>
      </w:r>
      <w:r>
        <w:t xml:space="preserve"> </w:t>
      </w:r>
      <w:r>
        <w:rPr>
          <w:rFonts w:ascii="Courier New" w:hAnsi="Courier New"/>
          <w:sz w:val="18"/>
          <w:shd w:val="clear" w:color="auto" w:fill="F2F1F0"/>
        </w:rPr>
        <w:t>github.com/ScottCoffin/QSARena</w:t>
      </w:r>
      <w:r>
        <w:t xml:space="preserve"> · </w:t>
      </w:r>
      <w:r>
        <w:rPr>
          <w:b/>
        </w:rPr>
        <w:t>Package:</w:t>
      </w:r>
      <w:r>
        <w:t xml:space="preserve"> </w:t>
      </w:r>
      <w:r>
        <w:rPr>
          <w:rFonts w:ascii="Courier New" w:hAnsi="Courier New"/>
          <w:sz w:val="18"/>
          <w:shd w:val="clear" w:color="auto" w:fill="F2F1F0"/>
        </w:rPr>
        <w:t>qsarena</w:t>
      </w:r>
      <w:r>
        <w:t xml:space="preserve"> (console scripts </w:t>
      </w:r>
      <w:r>
        <w:rPr>
          <w:rFonts w:ascii="Courier New" w:hAnsi="Courier New"/>
          <w:sz w:val="18"/>
          <w:shd w:val="clear" w:color="auto" w:fill="F2F1F0"/>
        </w:rPr>
        <w:t>qsarena-benchmark</w:t>
      </w:r>
      <w:r>
        <w:t xml:space="preserve">, </w:t>
      </w:r>
      <w:r>
        <w:rPr>
          <w:rFonts w:ascii="Courier New" w:hAnsi="Courier New"/>
          <w:sz w:val="18"/>
          <w:shd w:val="clear" w:color="auto" w:fill="F2F1F0"/>
        </w:rPr>
        <w:t>qsarena-applicability-domain</w:t>
      </w:r>
      <w:r>
        <w:t xml:space="preserve">) · </w:t>
      </w:r>
      <w:r>
        <w:rPr>
          <w:b/>
        </w:rPr>
        <w:t>Manuscript:</w:t>
      </w:r>
      <w:r>
        <w:t xml:space="preserve"> LaTeX proof (</w:t>
      </w:r>
      <w:r>
        <w:rPr>
          <w:rFonts w:ascii="Courier New" w:hAnsi="Courier New"/>
          <w:sz w:val="18"/>
          <w:shd w:val="clear" w:color="auto" w:fill="F2F1F0"/>
        </w:rPr>
        <w:t>proof.pdf</w:t>
      </w:r>
      <w:r>
        <w:t xml:space="preserve"> build; edit the 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 xml:space="preserve"> + </w:t>
      </w:r>
      <w:r>
        <w:rPr>
          <w:rFonts w:ascii="Courier New" w:hAnsi="Courier New"/>
          <w:sz w:val="18"/>
          <w:shd w:val="clear" w:color="auto" w:fill="F2F1F0"/>
        </w:rPr>
        <w:t>.bib</w:t>
      </w:r>
      <w:r>
        <w:t>)</w:t>
      </w:r>
      <w:r>
        <w:rPr>
          <w:b/>
        </w:rPr>
        <w:t>Audience:</w:t>
      </w:r>
      <w:r>
        <w:t xml:space="preserve"> autonomous coding agent that can edit 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 xml:space="preserve"> and code, write/run tests, and report verification.</w:t>
      </w:r>
    </w:p>
    <w:p w14:paraId="3F2794E9" w14:textId="77777777" w:rsidR="00B848FD" w:rsidRDefault="00B76850">
      <w:pPr>
        <w:pStyle w:val="Quote"/>
      </w:pPr>
      <w:r>
        <w:rPr>
          <w:b/>
        </w:rPr>
        <w:t>Status against the latest proof (build 26037, v4 of this order):</w:t>
      </w:r>
      <w:r>
        <w:t xml:space="preserve"> the manuscript advanced (several reference and positioning items are now done — see "Resolved," below). </w:t>
      </w:r>
      <w:r>
        <w:rPr>
          <w:b/>
        </w:rPr>
        <w:t>Code/results items have NOT advanced:</w:t>
      </w:r>
      <w:r>
        <w:t xml:space="preserve"> Chemprop still 6/44; ensemble still consults held-out R² (</w:t>
      </w:r>
      <w:r>
        <w:rPr>
          <w:rFonts w:ascii="Courier New" w:hAnsi="Courier New"/>
          <w:sz w:val="18"/>
          <w:shd w:val="clear" w:color="auto" w:fill="F2F1F0"/>
        </w:rPr>
        <w:t>exclude_negative_test_r2_members</w:t>
      </w:r>
      <w:r>
        <w:t xml:space="preserve"> still enabled); still single split/single seed; AD results still not reported; ADMET-AI parity still untested; Zenodo DOI still an </w:t>
      </w:r>
      <w:r>
        <w:rPr>
          <w:rFonts w:ascii="Courier New" w:hAnsi="Courier New"/>
          <w:sz w:val="18"/>
          <w:shd w:val="clear" w:color="auto" w:fill="F2F1F0"/>
        </w:rPr>
        <w:t>[AUTHOR]</w:t>
      </w:r>
      <w:r>
        <w:t xml:space="preserve"> placeholder. The competitor positioning table is </w:t>
      </w:r>
      <w:r>
        <w:rPr>
          <w:b/>
        </w:rPr>
        <w:t>Table 6</w:t>
      </w:r>
      <w:r>
        <w:t xml:space="preserve">; the Chemprop discussion is </w:t>
      </w:r>
      <w:r>
        <w:rPr>
          <w:b/>
        </w:rPr>
        <w:t>§3.8</w:t>
      </w:r>
      <w:r>
        <w:t>.</w:t>
      </w:r>
    </w:p>
    <w:p w14:paraId="6C888A0E" w14:textId="77777777" w:rsidR="00B848FD" w:rsidRDefault="00B76850">
      <w:pPr>
        <w:pStyle w:val="Quote"/>
      </w:pPr>
      <w:r>
        <w:rPr>
          <w:b/>
        </w:rPr>
        <w:t>Scope note:</w:t>
      </w:r>
      <w:r>
        <w:t xml:space="preserve"> the Chemprop v2 backend fix (C1) and the ensemble held-out-R² leakage fix (C4) are </w:t>
      </w:r>
      <w:r>
        <w:rPr>
          <w:b/>
        </w:rPr>
        <w:t>team-owned — verify/integrate only</w:t>
      </w:r>
      <w:r>
        <w:t>; do not re-implement. Focus agent effort on C2, C3, C5–C10 and the remaining manuscript tasks.</w:t>
      </w:r>
    </w:p>
    <w:p w14:paraId="4D252C01" w14:textId="77777777" w:rsidR="00B848FD" w:rsidRDefault="00B76850">
      <w:pPr>
        <w:pStyle w:val="Quote"/>
      </w:pPr>
      <w:r>
        <w:rPr>
          <w:b/>
        </w:rPr>
        <w:t>Ground rule:</w:t>
      </w:r>
      <w:r>
        <w:t xml:space="preserve"> do not fabricate results. Every manuscript number must come from a code run and be pasted from an output artifact. If a run is infeasible in budget, write the honest limitation — do not invent values.</w:t>
      </w:r>
    </w:p>
    <w:p w14:paraId="2615F204" w14:textId="77777777" w:rsidR="00B848FD" w:rsidRDefault="00B848FD">
      <w:pPr>
        <w:pBdr>
          <w:bottom w:val="single" w:sz="6" w:space="1" w:color="auto"/>
        </w:pBdr>
      </w:pPr>
    </w:p>
    <w:p w14:paraId="32F23A27" w14:textId="77777777" w:rsidR="00B848FD" w:rsidRDefault="00B76850">
      <w:pPr>
        <w:pStyle w:val="Heading2"/>
      </w:pPr>
      <w:r>
        <w:t>✅</w:t>
      </w:r>
      <w:r>
        <w:t xml:space="preserve"> Resolved in build 26037 — DO NOT re-do</w:t>
      </w:r>
    </w:p>
    <w:p w14:paraId="11ADB493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M2 / M3.2 — MetaQSAR:</w:t>
      </w:r>
      <w:r>
        <w:t xml:space="preserve"> now cited </w:t>
      </w:r>
      <w:r>
        <w:rPr>
          <w:b/>
          <w:color w:val="1F5132"/>
          <w:position w:val="7"/>
          <w:sz w:val="18"/>
          <w:szCs w:val="18"/>
        </w:rPr>
        <w:t>54</w:t>
      </w:r>
      <w:r>
        <w:t xml:space="preserve"> with full metadata and positioned in related work as the closest regulatory-audience comparator. No action.</w:t>
      </w:r>
    </w:p>
    <w:p w14:paraId="4FF52D0A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M3.1 — MaxQsaring authors:</w:t>
      </w:r>
      <w:r>
        <w:t xml:space="preserve"> corrected. No action.</w:t>
      </w:r>
    </w:p>
    <w:p w14:paraId="0BCDB6F9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M3.3 — Uni-Mol2:</w:t>
      </w:r>
      <w:r>
        <w:t xml:space="preserve"> now a distinct citation ("Uni-Mol V1 and V2 [10, 45]"). </w:t>
      </w:r>
      <w:r>
        <w:rPr>
          <w:i/>
        </w:rPr>
        <w:t xml:space="preserve">Agent: one-line check that </w:t>
      </w:r>
      <w:r>
        <w:rPr>
          <w:b/>
          <w:color w:val="1F5132"/>
          <w:position w:val="7"/>
          <w:sz w:val="18"/>
          <w:szCs w:val="18"/>
        </w:rPr>
        <w:t>45</w:t>
      </w:r>
      <w:r>
        <w:rPr>
          <w:i/>
        </w:rPr>
        <w:t xml:space="preserve"> is Ji et al., NeurIPS 2024 (arXiv:2406.14969); otherwise no action.</w:t>
      </w:r>
    </w:p>
    <w:p w14:paraId="6DF115DE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M3.4 — Chemprop package citation:</w:t>
      </w:r>
      <w:r>
        <w:t xml:space="preserve"> Heid et al. 2024 added as </w:t>
      </w:r>
      <w:r>
        <w:rPr>
          <w:b/>
          <w:color w:val="1F5132"/>
          <w:position w:val="7"/>
          <w:sz w:val="18"/>
          <w:szCs w:val="18"/>
        </w:rPr>
        <w:t>43</w:t>
      </w:r>
      <w:r>
        <w:t xml:space="preserve">. </w:t>
      </w:r>
      <w:r>
        <w:rPr>
          <w:i/>
        </w:rPr>
        <w:t>Optional only:</w:t>
      </w:r>
      <w:r>
        <w:t xml:space="preserve"> if you want the citation to match the exact software version run ("Chemprop v2"), also add Graff DE et al., </w:t>
      </w:r>
      <w:r>
        <w:rPr>
          <w:i/>
        </w:rPr>
        <w:t>JCIM</w:t>
      </w:r>
      <w:r>
        <w:t xml:space="preserve"> 2026;66(1):28–33, doi:10.1021/acs.jcim.5c02332; not required.</w:t>
      </w:r>
    </w:p>
    <w:p w14:paraId="54E0D451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OECD framing:</w:t>
      </w:r>
      <w:r>
        <w:t xml:space="preserve"> the five principles and the QAF are now cited [58, 59]. </w:t>
      </w:r>
      <w:r>
        <w:rPr>
          <w:i/>
        </w:rPr>
        <w:t>Remaining OECD work is in M1 (explicit per-principle mapping + AD results), not the framing.</w:t>
      </w:r>
    </w:p>
    <w:p w14:paraId="503E0C34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lastRenderedPageBreak/>
        <w:t>•</w:t>
      </w:r>
      <w:r>
        <w:tab/>
      </w:r>
      <w:r>
        <w:rPr>
          <w:b/>
        </w:rPr>
        <w:t>Abstract / keywords / "Scientific Contribution" / proof banner:</w:t>
      </w:r>
      <w:r>
        <w:t xml:space="preserve"> structured abstract and keywords present; banner appears removed. </w:t>
      </w:r>
      <w:r>
        <w:rPr>
          <w:i/>
        </w:rPr>
        <w:t>Agent: confirm the banner is gone; otherwise M5.</w:t>
      </w:r>
    </w:p>
    <w:p w14:paraId="77670C7E" w14:textId="77777777" w:rsidR="00B848FD" w:rsidRDefault="00B848FD">
      <w:pPr>
        <w:pBdr>
          <w:bottom w:val="single" w:sz="6" w:space="1" w:color="auto"/>
        </w:pBdr>
      </w:pPr>
    </w:p>
    <w:p w14:paraId="4757234D" w14:textId="77777777" w:rsidR="00B848FD" w:rsidRDefault="00B76850">
      <w:pPr>
        <w:pStyle w:val="Heading2"/>
      </w:pPr>
      <w:r>
        <w:t>PART A — CODE TASKS (with tests &amp; verification)</w:t>
      </w:r>
    </w:p>
    <w:p w14:paraId="74F21F9B" w14:textId="77777777" w:rsidR="00B848FD" w:rsidRDefault="00B76850">
      <w:pPr>
        <w:pStyle w:val="Heading3"/>
      </w:pPr>
      <w:r>
        <w:t>C1 [TEAM-OWNED — verify/integrate only] Chemprop v2 backend</w:t>
      </w:r>
    </w:p>
    <w:p w14:paraId="07B366F6" w14:textId="77777777" w:rsidR="00B848FD" w:rsidRDefault="00B76850">
      <w:r>
        <w:t>Team is restoring the failing variants (</w:t>
      </w:r>
      <w:r>
        <w:rPr>
          <w:b/>
        </w:rPr>
        <w:t>still 6/44 in build 26037</w:t>
      </w:r>
      <w:r>
        <w:t>, §3.8; build 26037 also notes the two larger Uni-Mol V2 variants produced no valid results and TabPFN was disabled). Agent: confirm a regression test runs each of the five variants to a finite metric on the synthetic fixture (add a thin guard only if absent); once the fix lands, propagate the new coverage counts into Table 1, Table 2, §3.8 and the abstract (M4) from the regenerated artifact; unblock C5.</w:t>
      </w:r>
    </w:p>
    <w:p w14:paraId="0881A358" w14:textId="77777777" w:rsidR="00B848FD" w:rsidRDefault="00B76850">
      <w:pPr>
        <w:pStyle w:val="Heading3"/>
      </w:pPr>
      <w:r>
        <w:t>C2 [BLOCK] Multi-seed evaluation with mean ± SD</w:t>
      </w:r>
    </w:p>
    <w:p w14:paraId="70640E61" w14:textId="77777777" w:rsidR="00B848FD" w:rsidRDefault="00B76850">
      <w:r>
        <w:t xml:space="preserve">Make </w:t>
      </w:r>
      <w:r>
        <w:rPr>
          <w:rFonts w:ascii="Courier New" w:hAnsi="Courier New"/>
          <w:sz w:val="18"/>
          <w:shd w:val="clear" w:color="auto" w:fill="F2F1F0"/>
        </w:rPr>
        <w:t>--run-tdc22-multiseed-best</w:t>
      </w:r>
      <w:r>
        <w:t xml:space="preserve"> runnable </w:t>
      </w:r>
      <w:r>
        <w:rPr>
          <w:b/>
        </w:rPr>
        <w:t>independently</w:t>
      </w:r>
      <w:r>
        <w:t xml:space="preserve"> of a full run and resumable (e.g. </w:t>
      </w:r>
      <w:r>
        <w:rPr>
          <w:rFonts w:ascii="Courier New" w:hAnsi="Courier New"/>
          <w:sz w:val="18"/>
          <w:shd w:val="clear" w:color="auto" w:fill="F2F1F0"/>
        </w:rPr>
        <w:t>qsarena-benchmark --tdc22-multiseed --seeds 5 --resume</w:t>
      </w:r>
      <w:r>
        <w:t xml:space="preserve">, reading cached artifacts). Run 5 seeds over the </w:t>
      </w:r>
      <w:r>
        <w:rPr>
          <w:b/>
        </w:rPr>
        <w:t>22 official TDC datasets</w:t>
      </w:r>
      <w:r>
        <w:t xml:space="preserve">; write </w:t>
      </w:r>
      <w:r>
        <w:rPr>
          <w:rFonts w:ascii="Courier New" w:hAnsi="Courier New"/>
          <w:sz w:val="18"/>
          <w:shd w:val="clear" w:color="auto" w:fill="F2F1F0"/>
        </w:rPr>
        <w:t>results/tdc22_multiseed.csv</w:t>
      </w:r>
      <w:r>
        <w:t xml:space="preserve"> (mean ± SD per dataset/family + "single-seed winner within 1 SD?" flag).</w:t>
      </w:r>
      <w:r>
        <w:rPr>
          <w:b/>
        </w:rPr>
        <w:t>Tests:</w:t>
      </w:r>
      <w:r>
        <w:t xml:space="preserve"> unit-test aggregation (synthetic per-seed → correct mean/SD + flag); integration-test a 2-seed run that is kill-and-resume safe.</w:t>
      </w:r>
      <w:r>
        <w:rPr>
          <w:b/>
        </w:rPr>
        <w:t>Verify:</w:t>
      </w:r>
      <w:r>
        <w:t xml:space="preserve"> CSV present (5×22); §4 and abstract report mean ± SD for the TDC subset; keep the caveat for datasets that remain single-seed.</w:t>
      </w:r>
    </w:p>
    <w:p w14:paraId="49888DE8" w14:textId="77777777" w:rsidR="00B848FD" w:rsidRDefault="00B76850">
      <w:pPr>
        <w:pStyle w:val="Heading3"/>
      </w:pPr>
      <w:r>
        <w:t>C3 [DIFF] Exercise the applicability-domain (AD) utilities and report results</w:t>
      </w:r>
    </w:p>
    <w:p w14:paraId="16B8E210" w14:textId="77777777" w:rsidR="00B848FD" w:rsidRDefault="00B76850">
      <w:r>
        <w:t xml:space="preserve">The OECD </w:t>
      </w:r>
      <w:r>
        <w:rPr>
          <w:i/>
        </w:rPr>
        <w:t>framing</w:t>
      </w:r>
      <w:r>
        <w:t xml:space="preserve"> is now in the paper, but AD is still not exercised — this is the missing regulatory differentiator (cf. MetaQSAR's two AD methods). Implement/confirm (a) a distance/leverage or descriptor-range "standardization" method and (b) a reliability/confidence method (conformal, or probability threshold). Per dataset compute test-set </w:t>
      </w:r>
      <w:r>
        <w:rPr>
          <w:b/>
        </w:rPr>
        <w:t>AD coverage</w:t>
      </w:r>
      <w:r>
        <w:t xml:space="preserve"> and </w:t>
      </w:r>
      <w:r>
        <w:rPr>
          <w:b/>
        </w:rPr>
        <w:t>in- vs out-of-domain accuracy</w:t>
      </w:r>
      <w:r>
        <w:t xml:space="preserve">; write </w:t>
      </w:r>
      <w:r>
        <w:rPr>
          <w:rFonts w:ascii="Courier New" w:hAnsi="Courier New"/>
          <w:sz w:val="18"/>
          <w:shd w:val="clear" w:color="auto" w:fill="F2F1F0"/>
        </w:rPr>
        <w:t>results/applicability_domain.csv</w:t>
      </w:r>
      <w:r>
        <w:t>; add AD to per-run reports and per-molecule prediction files.</w:t>
      </w:r>
      <w:r>
        <w:rPr>
          <w:b/>
        </w:rPr>
        <w:t>Tests:</w:t>
      </w:r>
      <w:r>
        <w:t xml:space="preserve"> unit tests on AD math (known in/out points; conformal coverage ≈ target on synthetic data); integration test that </w:t>
      </w:r>
      <w:r>
        <w:rPr>
          <w:rFonts w:ascii="Courier New" w:hAnsi="Courier New"/>
          <w:sz w:val="18"/>
          <w:shd w:val="clear" w:color="auto" w:fill="F2F1F0"/>
        </w:rPr>
        <w:t>qsarena-applicability-domain</w:t>
      </w:r>
      <w:r>
        <w:t xml:space="preserve"> runs end-to-end on the fixture and writes the CSV.</w:t>
      </w:r>
      <w:r>
        <w:rPr>
          <w:b/>
        </w:rPr>
        <w:t>Verify:</w:t>
      </w:r>
      <w:r>
        <w:t xml:space="preserve"> AD results for the 22 TDC datasets feed M1; out-of-domain error measurably higher than in-domain on ≥1 documented case.</w:t>
      </w:r>
    </w:p>
    <w:p w14:paraId="4DC53F0D" w14:textId="77777777" w:rsidR="00B848FD" w:rsidRDefault="00B76850">
      <w:pPr>
        <w:pStyle w:val="Heading3"/>
      </w:pPr>
      <w:r>
        <w:t>C4 [TEAM-OWNED — verify/integrate only] Ensemble leakage-free member selection</w:t>
      </w:r>
    </w:p>
    <w:p w14:paraId="2310BB41" w14:textId="77777777" w:rsidR="00B848FD" w:rsidRDefault="00B76850">
      <w:r>
        <w:t xml:space="preserve">Team is flipping the default away from </w:t>
      </w:r>
      <w:r>
        <w:rPr>
          <w:rFonts w:ascii="Courier New" w:hAnsi="Courier New"/>
          <w:sz w:val="18"/>
          <w:shd w:val="clear" w:color="auto" w:fill="F2F1F0"/>
        </w:rPr>
        <w:t>exclude_negative_test_r2_members</w:t>
      </w:r>
      <w:r>
        <w:t xml:space="preserve"> (held-out R²) to a CV-based, training-partition-only default — the paper already flags this as "a configuration default we intend to change." Agent: confirm a unit test asserts default-mode selection </w:t>
      </w:r>
      <w:r>
        <w:rPr>
          <w:b/>
        </w:rPr>
        <w:t>never reads the test partition</w:t>
      </w:r>
      <w:r>
        <w:t xml:space="preserve"> (spy/mock the held-out array); add only if missing. Once landed, regenerate-dependent artifacts feed Fig 2, Table 2, §3.3/§3.5 (M4); re-word but keep the "not a like-for-like competitor" caveat.</w:t>
      </w:r>
    </w:p>
    <w:p w14:paraId="53EC64CF" w14:textId="77777777" w:rsidR="00B848FD" w:rsidRDefault="00B76850">
      <w:pPr>
        <w:pStyle w:val="Heading3"/>
      </w:pPr>
      <w:r>
        <w:t>C5 [BLOCK — unblocked once C1 lands] ADMET-AI parity comparison</w:t>
      </w:r>
    </w:p>
    <w:p w14:paraId="2EE43BE2" w14:textId="77777777" w:rsidR="00B848FD" w:rsidRDefault="00B76850">
      <w:r>
        <w:t xml:space="preserve">After the Chemprop fix, run the D-MPNN+RDKit2D variant across the 22 TDC datasets; build a head-to-head vs ADMET-AI's published TDC values (and, if feasible, a local ADMET-AI pip run for a same-split comparison). Emit </w:t>
      </w:r>
      <w:r>
        <w:rPr>
          <w:rFonts w:ascii="Courier New" w:hAnsi="Courier New"/>
          <w:sz w:val="18"/>
          <w:shd w:val="clear" w:color="auto" w:fill="F2F1F0"/>
        </w:rPr>
        <w:t>results/admet_ai_parity.csv</w:t>
      </w:r>
      <w:r>
        <w:t xml:space="preserve">; missing competitor values are explicit </w:t>
      </w:r>
      <w:r>
        <w:rPr>
          <w:rFonts w:ascii="Courier New" w:hAnsi="Courier New"/>
          <w:sz w:val="18"/>
          <w:shd w:val="clear" w:color="auto" w:fill="F2F1F0"/>
        </w:rPr>
        <w:lastRenderedPageBreak/>
        <w:t>NA</w:t>
      </w:r>
      <w:r>
        <w:t>.</w:t>
      </w:r>
      <w:r>
        <w:rPr>
          <w:b/>
        </w:rPr>
        <w:t>Tests:</w:t>
      </w:r>
      <w:r>
        <w:t xml:space="preserve"> integration test that the parity table generates from the results store and does not silently drop </w:t>
      </w:r>
      <w:r>
        <w:rPr>
          <w:rFonts w:ascii="Courier New" w:hAnsi="Courier New"/>
          <w:sz w:val="18"/>
          <w:shd w:val="clear" w:color="auto" w:fill="F2F1F0"/>
        </w:rPr>
        <w:t>NA</w:t>
      </w:r>
      <w:r>
        <w:t>s.</w:t>
      </w:r>
      <w:r>
        <w:rPr>
          <w:b/>
        </w:rPr>
        <w:t>Verify:</w:t>
      </w:r>
      <w:r>
        <w:t xml:space="preserve"> parity table exists; the title claim "perform comparably" is confirmed or adjusted to match.</w:t>
      </w:r>
    </w:p>
    <w:p w14:paraId="04DA090C" w14:textId="77777777" w:rsidR="00B848FD" w:rsidRDefault="00B76850">
      <w:pPr>
        <w:pStyle w:val="Heading3"/>
      </w:pPr>
      <w:r>
        <w:t>C6 [ENH] Uncertainty quantification / calibration</w:t>
      </w:r>
    </w:p>
    <w:p w14:paraId="3B99D0D3" w14:textId="77777777" w:rsidR="00B848FD" w:rsidRDefault="00B76850">
      <w:r>
        <w:t>Add conformal prediction intervals (regression) / calibrated probabilities (classification); emit reliability diagrams + coverage/ECE/Brier. Pairs with C3.</w:t>
      </w:r>
      <w:r>
        <w:rPr>
          <w:b/>
        </w:rPr>
        <w:t>Tests:</w:t>
      </w:r>
      <w:r>
        <w:t xml:space="preserve"> conformal coverage ≈ nominal; calibration metric correct on a toy set.</w:t>
      </w:r>
      <w:r>
        <w:rPr>
          <w:b/>
        </w:rPr>
        <w:t>Verify:</w:t>
      </w:r>
      <w:r>
        <w:t xml:space="preserve"> calibration outputs feed M1 (OECD principle 4).</w:t>
      </w:r>
    </w:p>
    <w:p w14:paraId="16ED02BA" w14:textId="77777777" w:rsidR="00B848FD" w:rsidRDefault="00B76850">
      <w:pPr>
        <w:pStyle w:val="Heading3"/>
      </w:pPr>
      <w:r>
        <w:t>C7 [DIFF] QMRF/QPRF-style report export</w:t>
      </w:r>
    </w:p>
    <w:p w14:paraId="1D8E4568" w14:textId="77777777" w:rsidR="00B848FD" w:rsidRDefault="00B76850">
      <w:r>
        <w:t>Per-model structured report (Markdown/PDF/JSON) filling the five OECD headings from run artifacts (metrics, split hashes, AD from C3, importance from C10).</w:t>
      </w:r>
      <w:r>
        <w:rPr>
          <w:b/>
        </w:rPr>
        <w:t>Tests:</w:t>
      </w:r>
      <w:r>
        <w:t xml:space="preserve"> exporter fills all five sections from a mock run; fails loudly on missing inputs.</w:t>
      </w:r>
      <w:r>
        <w:rPr>
          <w:b/>
        </w:rPr>
        <w:t>Verify:</w:t>
      </w:r>
      <w:r>
        <w:t xml:space="preserve"> a sample report generated for one TDC model, referenced in M1.</w:t>
      </w:r>
    </w:p>
    <w:p w14:paraId="76096438" w14:textId="77777777" w:rsidR="00B848FD" w:rsidRDefault="00B76850">
      <w:pPr>
        <w:pStyle w:val="Heading3"/>
      </w:pPr>
      <w:r>
        <w:t>C8 [BLOCK] Reproducibility hardening + data deposit</w:t>
      </w:r>
    </w:p>
    <w:p w14:paraId="6156B672" w14:textId="77777777" w:rsidR="00B848FD" w:rsidRDefault="00B76850">
      <w:r>
        <w:t xml:space="preserve">Pin exact versions in </w:t>
      </w:r>
      <w:r>
        <w:rPr>
          <w:rFonts w:ascii="Courier New" w:hAnsi="Courier New"/>
          <w:sz w:val="18"/>
          <w:shd w:val="clear" w:color="auto" w:fill="F2F1F0"/>
        </w:rPr>
        <w:t>pyproject.toml</w:t>
      </w:r>
      <w:r>
        <w:t>; emit an environment manifest (</w:t>
      </w:r>
      <w:r>
        <w:rPr>
          <w:rFonts w:ascii="Courier New" w:hAnsi="Courier New"/>
          <w:sz w:val="18"/>
          <w:shd w:val="clear" w:color="auto" w:fill="F2F1F0"/>
        </w:rPr>
        <w:t>pip freeze</w:t>
      </w:r>
      <w:r>
        <w:t xml:space="preserve"> + git commit + hardware) per results dir; prepare the Zenodo deposit (per-molecule predictions, split hashes, S1–S7); mint the DOI.</w:t>
      </w:r>
      <w:r>
        <w:rPr>
          <w:b/>
        </w:rPr>
        <w:t>Tests:</w:t>
      </w:r>
      <w:r>
        <w:t xml:space="preserve"> a run writes a manifest with versions + commit; split hashes stable across same-seed reruns.</w:t>
      </w:r>
      <w:r>
        <w:rPr>
          <w:b/>
        </w:rPr>
        <w:t>Verify:</w:t>
      </w:r>
      <w:r>
        <w:t xml:space="preserve"> DOI minted; the </w:t>
      </w:r>
      <w:r>
        <w:rPr>
          <w:rFonts w:ascii="Courier New" w:hAnsi="Courier New"/>
          <w:sz w:val="18"/>
          <w:shd w:val="clear" w:color="auto" w:fill="F2F1F0"/>
        </w:rPr>
        <w:t>[AUTHOR]</w:t>
      </w:r>
      <w:r>
        <w:t xml:space="preserve"> placeholder replaced (M3).</w:t>
      </w:r>
    </w:p>
    <w:p w14:paraId="56A2283A" w14:textId="77777777" w:rsidR="00B848FD" w:rsidRDefault="00B76850">
      <w:pPr>
        <w:pStyle w:val="Heading3"/>
      </w:pPr>
      <w:r>
        <w:t>C9 [BLOCK] Rename completeness check</w:t>
      </w:r>
    </w:p>
    <w:p w14:paraId="25EE19BB" w14:textId="77777777" w:rsidR="00B848FD" w:rsidRDefault="00B76850">
      <w:r>
        <w:t>Repo/docs/notebook/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>/</w:t>
      </w:r>
      <w:r>
        <w:rPr>
          <w:rFonts w:ascii="Courier New" w:hAnsi="Courier New"/>
          <w:sz w:val="18"/>
          <w:shd w:val="clear" w:color="auto" w:fill="F2F1F0"/>
        </w:rPr>
        <w:t>.bib</w:t>
      </w:r>
      <w:r>
        <w:t xml:space="preserve"> grep for </w:t>
      </w:r>
      <w:r>
        <w:rPr>
          <w:rFonts w:ascii="Courier New" w:hAnsi="Courier New"/>
          <w:sz w:val="18"/>
          <w:shd w:val="clear" w:color="auto" w:fill="F2F1F0"/>
        </w:rPr>
        <w:t>autoqsar</w:t>
      </w:r>
      <w:r>
        <w:t>/</w:t>
      </w:r>
      <w:r>
        <w:rPr>
          <w:rFonts w:ascii="Courier New" w:hAnsi="Courier New"/>
          <w:sz w:val="18"/>
          <w:shd w:val="clear" w:color="auto" w:fill="F2F1F0"/>
        </w:rPr>
        <w:t>AutoQSAR</w:t>
      </w:r>
      <w:r>
        <w:t xml:space="preserve"> (case-insensitive); confirm package, imports, console scripts, notebook title, URLs, CITATION all read </w:t>
      </w:r>
      <w:r>
        <w:rPr>
          <w:rFonts w:ascii="Courier New" w:hAnsi="Courier New"/>
          <w:sz w:val="18"/>
          <w:shd w:val="clear" w:color="auto" w:fill="F2F1F0"/>
        </w:rPr>
        <w:t>qsarena</w:t>
      </w:r>
      <w:r>
        <w:t>; leave only the Schrödinger prior-art citation.</w:t>
      </w:r>
      <w:r>
        <w:rPr>
          <w:b/>
        </w:rPr>
        <w:t>Tests:</w:t>
      </w:r>
      <w:r>
        <w:t xml:space="preserve"> CI grep that fails if </w:t>
      </w:r>
      <w:r>
        <w:rPr>
          <w:rFonts w:ascii="Courier New" w:hAnsi="Courier New"/>
          <w:sz w:val="18"/>
          <w:shd w:val="clear" w:color="auto" w:fill="F2F1F0"/>
        </w:rPr>
        <w:t>autoqsar</w:t>
      </w:r>
      <w:r>
        <w:t xml:space="preserve"> appears outside the allowlist.</w:t>
      </w:r>
      <w:r>
        <w:rPr>
          <w:b/>
        </w:rPr>
        <w:t>Verify:</w:t>
      </w:r>
      <w:r>
        <w:t xml:space="preserve"> grep clean except the allowlisted citation.</w:t>
      </w:r>
    </w:p>
    <w:p w14:paraId="3A5DDA8C" w14:textId="77777777" w:rsidR="00B848FD" w:rsidRDefault="00B76850">
      <w:pPr>
        <w:pStyle w:val="Heading3"/>
      </w:pPr>
      <w:r>
        <w:t>C10 [ENH] Per-model interpretability (OECD principle 5)</w:t>
      </w:r>
    </w:p>
    <w:p w14:paraId="3D960EDE" w14:textId="77777777" w:rsidR="00B848FD" w:rsidRDefault="00B76850">
      <w:r>
        <w:t>Add SHAP/permutation importance for winning tabular/boosting models per dataset. The aggregate feature-enrichment story is now stronger in the paper (RDKit 2D 5.16× enriched, ErG 2.86×, Avalon 2.54×) — this adds per-winner detail. Feeds C7 and M1.</w:t>
      </w:r>
      <w:r>
        <w:rPr>
          <w:b/>
        </w:rPr>
        <w:t>Tests:</w:t>
      </w:r>
      <w:r>
        <w:t xml:space="preserve"> importance shapes/sums correct on a toy model; graceful skip for models without native importances.</w:t>
      </w:r>
      <w:r>
        <w:rPr>
          <w:b/>
        </w:rPr>
        <w:t>Verify:</w:t>
      </w:r>
      <w:r>
        <w:t xml:space="preserve"> importance outputs feed C7 and M1.</w:t>
      </w:r>
    </w:p>
    <w:p w14:paraId="40C5249A" w14:textId="77777777" w:rsidR="00B848FD" w:rsidRDefault="00B848FD">
      <w:pPr>
        <w:pBdr>
          <w:bottom w:val="single" w:sz="6" w:space="1" w:color="auto"/>
        </w:pBdr>
      </w:pPr>
    </w:p>
    <w:p w14:paraId="661A0C7F" w14:textId="77777777" w:rsidR="00B848FD" w:rsidRDefault="00B76850">
      <w:pPr>
        <w:pStyle w:val="Heading2"/>
      </w:pPr>
      <w:r>
        <w:t>PART B — MANUSCRIPT (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 xml:space="preserve"> / </w:t>
      </w:r>
      <w:r>
        <w:rPr>
          <w:rFonts w:ascii="Courier New" w:hAnsi="Courier New"/>
          <w:sz w:val="18"/>
          <w:shd w:val="clear" w:color="auto" w:fill="F2F1F0"/>
        </w:rPr>
        <w:t>.bib</w:t>
      </w:r>
      <w:r>
        <w:t>) TASKS</w:t>
      </w:r>
    </w:p>
    <w:p w14:paraId="105E5B33" w14:textId="77777777" w:rsidR="00B848FD" w:rsidRDefault="00B76850">
      <w:pPr>
        <w:pStyle w:val="Heading3"/>
      </w:pPr>
      <w:r>
        <w:t>M1 [DIFF] Complete the OECD alignment: per-principle mapping + AD results</w:t>
      </w:r>
    </w:p>
    <w:p w14:paraId="0EDD7F0F" w14:textId="77777777" w:rsidR="00B848FD" w:rsidRDefault="00B76850">
      <w:r>
        <w:t xml:space="preserve">Framing is done ([58, 59]); two pieces remain. </w:t>
      </w:r>
      <w:r>
        <w:rPr>
          <w:b/>
        </w:rPr>
        <w:t>(a)</w:t>
      </w:r>
      <w:r>
        <w:t xml:space="preserve"> Add an explicit mapping of QSARena to each of the five principles; </w:t>
      </w:r>
      <w:r>
        <w:rPr>
          <w:b/>
        </w:rPr>
        <w:t>(b)</w:t>
      </w:r>
      <w:r>
        <w:t xml:space="preserve"> insert the AD results from C3. </w:t>
      </w:r>
      <w:r>
        <w:rPr>
          <w:b/>
        </w:rPr>
        <w:t>Ready-to-adapt text (fill bracketed numbers from C2/C3/C10):</w:t>
      </w:r>
    </w:p>
    <w:p w14:paraId="62601985" w14:textId="77777777" w:rsidR="00B848FD" w:rsidRDefault="00B76850">
      <w:pPr>
        <w:pStyle w:val="Quote"/>
      </w:pPr>
      <w:r>
        <w:rPr>
          <w:i/>
        </w:rPr>
        <w:t xml:space="preserve">"Mapping QSARena to the OECD (Q)SAR principles: Principle 1 (defined endpoint) — each benchmark is a single documented endpoint. Principle 2 (unambiguous algorithm) — a fixed, open pipeline with cached artifacts and recorded split hashes enables exact reproduction. Principle 3 </w:t>
      </w:r>
      <w:r>
        <w:rPr>
          <w:i/>
        </w:rPr>
        <w:lastRenderedPageBreak/>
        <w:t>(defined applicability domain) — exercised here: across the [N] TDC datasets, out-of-domain test compounds showed [X]% higher error than in-domain (Table/Fig [ref]). Principle 4 (goodness-of-fit, robustness, predictivity) — internal cross-validated and external held-out metrics, with mean ± SD over five seeds on the TDC subset (Section [ref]). Principle 5 (mechanistic interpretation) — feature-family enrichment (Fig 4; RDKit-2D 5.16×, ErG 2.86×, Avalon 2.54×) and per-model feature importance (Section [ref])</w:t>
      </w:r>
      <w:r>
        <w:rPr>
          <w:i/>
        </w:rPr>
        <w:t>. QSARena additionally exports QMRF/QPRF-style reports."</w:t>
      </w:r>
    </w:p>
    <w:p w14:paraId="1BBFF090" w14:textId="77777777" w:rsidR="00B848FD" w:rsidRDefault="00B76850">
      <w:r>
        <w:rPr>
          <w:b/>
        </w:rPr>
        <w:t>Gate:</w:t>
      </w:r>
      <w:r>
        <w:t xml:space="preserve"> do not state AD/multi-seed numbers until C2/C3 produce them. Cite the five principles and the QAF (defined endpoint; unambiguous algorithm; defined domain of applicability; goodness-of-fit/robustness/predictivity; mechanistic interpretation if possible) </w:t>
      </w:r>
      <w:hyperlink r:id="rId7">
        <w:r>
          <w:rPr>
            <w:b/>
            <w:color w:val="1F5132"/>
            <w:position w:val="7"/>
            <w:sz w:val="18"/>
            <w:szCs w:val="18"/>
          </w:rPr>
          <w:t>1</w:t>
        </w:r>
      </w:hyperlink>
      <w:r>
        <w:t xml:space="preserve"> and the QAF's per-prediction checks (correct input; within applicability domain; reliable prediction; fit for purpose). </w:t>
      </w:r>
      <w:hyperlink r:id="rId8">
        <w:r>
          <w:rPr>
            <w:b/>
            <w:color w:val="1F5132"/>
            <w:position w:val="7"/>
            <w:sz w:val="18"/>
            <w:szCs w:val="18"/>
          </w:rPr>
          <w:t>2</w:t>
        </w:r>
      </w:hyperlink>
    </w:p>
    <w:p w14:paraId="2D7C97B6" w14:textId="77777777" w:rsidR="00B848FD" w:rsidRDefault="00B76850">
      <w:pPr>
        <w:pStyle w:val="Heading3"/>
      </w:pPr>
      <w:r>
        <w:t>M2 ✅ DONE — MetaQSAR cited and positioned (no action).</w:t>
      </w:r>
    </w:p>
    <w:p w14:paraId="1FD4DAF7" w14:textId="77777777" w:rsidR="00B848FD" w:rsidRDefault="00B76850">
      <w:pPr>
        <w:pStyle w:val="Heading3"/>
      </w:pPr>
      <w:r>
        <w:t>M3 [BLOCK] Remaining reference/</w:t>
      </w:r>
      <w:r>
        <w:rPr>
          <w:rFonts w:ascii="Courier New" w:hAnsi="Courier New"/>
          <w:sz w:val="18"/>
          <w:shd w:val="clear" w:color="auto" w:fill="F2F1F0"/>
        </w:rPr>
        <w:t>.bib</w:t>
      </w:r>
      <w:r>
        <w:t xml:space="preserve"> items</w:t>
      </w:r>
    </w:p>
    <w:p w14:paraId="43E0F1E6" w14:textId="0C22A577" w:rsidR="00B848FD" w:rsidRDefault="00B76850">
      <w:pPr>
        <w:pStyle w:val="ListParagraph"/>
        <w:tabs>
          <w:tab w:val="left" w:pos="720"/>
        </w:tabs>
        <w:ind w:left="720" w:hanging="360"/>
      </w:pPr>
      <w:r>
        <w:t>1.</w:t>
      </w:r>
      <w:r>
        <w:tab/>
      </w:r>
      <w:r>
        <w:rPr>
          <w:b/>
        </w:rPr>
        <w:t>Fill the Zenodo DOI.</w:t>
      </w:r>
      <w:r>
        <w:t xml:space="preserve"> Replace the placeholder that still reads "[AUTHOR] A versioned release archived on Zenodo … will be deposited before publication and its DOI cited here" </w:t>
      </w:r>
      <w:hyperlink r:id="rId9" w:anchor="pages=33-34">
        <w:r>
          <w:rPr>
            <w:b/>
            <w:color w:val="1F5132"/>
            <w:position w:val="7"/>
            <w:sz w:val="18"/>
            <w:szCs w:val="18"/>
          </w:rPr>
          <w:t>3</w:t>
        </w:r>
      </w:hyperlink>
      <w:r>
        <w:t xml:space="preserve"> with the real DOI from C8.</w:t>
      </w:r>
    </w:p>
    <w:p w14:paraId="27ACD8ED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2.</w:t>
      </w:r>
      <w:r>
        <w:tab/>
      </w:r>
      <w:r>
        <w:rPr>
          <w:b/>
        </w:rPr>
        <w:t xml:space="preserve">Verify </w:t>
      </w:r>
      <w:r>
        <w:rPr>
          <w:b/>
          <w:color w:val="1F5132"/>
          <w:position w:val="7"/>
          <w:sz w:val="18"/>
          <w:szCs w:val="18"/>
        </w:rPr>
        <w:t>45</w:t>
      </w:r>
      <w:r>
        <w:rPr>
          <w:b/>
        </w:rPr>
        <w:t xml:space="preserve"> = Uni-Mol2</w:t>
      </w:r>
      <w:r>
        <w:t xml:space="preserve"> (Ji et al., NeurIPS 2024). No action if correct.</w:t>
      </w:r>
    </w:p>
    <w:p w14:paraId="2D0AC3CE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3.</w:t>
      </w:r>
      <w:r>
        <w:tab/>
      </w:r>
      <w:r>
        <w:rPr>
          <w:i/>
        </w:rPr>
        <w:t>(Optional)</w:t>
      </w:r>
      <w:r>
        <w:t xml:space="preserve"> add Graff et al. 2026 as the exact Chemprop-v2-rewrite citation alongside Heid 2024 </w:t>
      </w:r>
      <w:r>
        <w:rPr>
          <w:b/>
          <w:color w:val="1F5132"/>
          <w:position w:val="7"/>
          <w:sz w:val="18"/>
          <w:szCs w:val="18"/>
        </w:rPr>
        <w:t>43</w:t>
      </w:r>
      <w:r>
        <w:t>.</w:t>
      </w:r>
    </w:p>
    <w:p w14:paraId="11068929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4.</w:t>
      </w:r>
      <w:r>
        <w:tab/>
      </w:r>
      <w:r>
        <w:rPr>
          <w:b/>
        </w:rPr>
        <w:t xml:space="preserve">Final </w:t>
      </w:r>
      <w:r>
        <w:rPr>
          <w:rFonts w:ascii="Courier New" w:hAnsi="Courier New"/>
          <w:b/>
          <w:sz w:val="18"/>
          <w:shd w:val="clear" w:color="auto" w:fill="F2F1F0"/>
        </w:rPr>
        <w:t>.bib</w:t>
      </w:r>
      <w:r>
        <w:rPr>
          <w:b/>
        </w:rPr>
        <w:t xml:space="preserve"> sweep:</w:t>
      </w:r>
      <w:r>
        <w:t xml:space="preserve"> </w:t>
      </w:r>
      <w:r>
        <w:rPr>
          <w:rFonts w:ascii="Courier New" w:hAnsi="Courier New"/>
          <w:sz w:val="18"/>
          <w:shd w:val="clear" w:color="auto" w:fill="F2F1F0"/>
        </w:rPr>
        <w:t>latexmk</w:t>
      </w:r>
      <w:r>
        <w:t xml:space="preserve"> compiles with zero undefined citations; no </w:t>
      </w:r>
      <w:r>
        <w:rPr>
          <w:rFonts w:ascii="Courier New" w:hAnsi="Courier New"/>
          <w:sz w:val="18"/>
          <w:shd w:val="clear" w:color="auto" w:fill="F2F1F0"/>
        </w:rPr>
        <w:t>[VERIFY]</w:t>
      </w:r>
      <w:r>
        <w:t>/</w:t>
      </w:r>
      <w:r>
        <w:rPr>
          <w:rFonts w:ascii="Courier New" w:hAnsi="Courier New"/>
          <w:sz w:val="18"/>
          <w:shd w:val="clear" w:color="auto" w:fill="F2F1F0"/>
        </w:rPr>
        <w:t>[AUTHOR]</w:t>
      </w:r>
      <w:r>
        <w:t xml:space="preserve"> tokens remain.</w:t>
      </w:r>
    </w:p>
    <w:p w14:paraId="42C89CC5" w14:textId="77777777" w:rsidR="00B848FD" w:rsidRDefault="00B76850">
      <w:pPr>
        <w:pStyle w:val="Heading3"/>
      </w:pPr>
      <w:r>
        <w:t>M4 [BLOCK] Propagate results into the narrative</w:t>
      </w:r>
    </w:p>
    <w:p w14:paraId="25331838" w14:textId="77777777" w:rsidR="00B848FD" w:rsidRDefault="00B76850">
      <w:r>
        <w:t>Pull from regenerated artifacts (incl. team-owned C1/C4); do not hand-edit:</w:t>
      </w:r>
    </w:p>
    <w:p w14:paraId="3434F057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Abstract, graphical summary &amp; §3.8:</w:t>
      </w:r>
      <w:r>
        <w:t xml:space="preserve"> update Chemprop coverage from "6 of 44" once C1 lands; keep headline numbers consistent (test-selected 35/37 median 3; CV-only 25/37 median 8; matched-candidate-set control attributes 7/10 placements to library breadth, 3/10 to honest selection with every first place removed).</w:t>
      </w:r>
    </w:p>
    <w:p w14:paraId="6DF504D5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§4 Limitations:</w:t>
      </w:r>
      <w:r>
        <w:t xml:space="preserve"> replace/attenuate the single-seed statement with C2 results; keep the caveat for datasets that stay single-seed.</w:t>
      </w:r>
    </w:p>
    <w:p w14:paraId="6BC7474D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§3.3/§3.5, Fig 2, Table 2:</w:t>
      </w:r>
      <w:r>
        <w:t xml:space="preserve"> regenerate from the leakage-free ensemble output; re-word the "not a like-for-like competitor" caveat.</w:t>
      </w:r>
    </w:p>
    <w:p w14:paraId="570752C7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ADMET-AI section:</w:t>
      </w:r>
      <w:r>
        <w:t xml:space="preserve"> replace "parity … untested" with the C5 result; adjust the title claim if unsupported.</w:t>
      </w:r>
    </w:p>
    <w:p w14:paraId="4EFF753B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rPr>
          <w:b/>
        </w:rPr>
        <w:t>AD/OECD/UQ:</w:t>
      </w:r>
      <w:r>
        <w:t xml:space="preserve"> insert C3/C6/C7/C10 outputs into M1.</w:t>
      </w:r>
    </w:p>
    <w:p w14:paraId="39414993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>Recompute the 837-evaluation count if coverage changes.</w:t>
      </w:r>
    </w:p>
    <w:p w14:paraId="18B070E2" w14:textId="77777777" w:rsidR="00B848FD" w:rsidRDefault="00B76850">
      <w:pPr>
        <w:pStyle w:val="Heading3"/>
      </w:pPr>
      <w:r>
        <w:lastRenderedPageBreak/>
        <w:t>M5 [BLOCK] Submission hygiene (mostly done)</w:t>
      </w:r>
    </w:p>
    <w:p w14:paraId="43E757D5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</w:r>
      <w:r>
        <w:t>Confirm the "PROOF BUILD" banner is removed (appears removed in 26037).</w:t>
      </w:r>
    </w:p>
    <w:p w14:paraId="1D215608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>Abstract + keywords present — verify complete.</w:t>
      </w:r>
    </w:p>
    <w:p w14:paraId="22EE279B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Ensure declaration blocks: </w:t>
      </w:r>
      <w:r>
        <w:rPr>
          <w:b/>
        </w:rPr>
        <w:t>Competing interests</w:t>
      </w:r>
      <w:r>
        <w:t xml:space="preserve"> (important for a single-author self-benchmark), </w:t>
      </w:r>
      <w:r>
        <w:rPr>
          <w:b/>
        </w:rPr>
        <w:t>Funding</w:t>
      </w:r>
      <w:r>
        <w:t xml:space="preserve">, </w:t>
      </w:r>
      <w:r>
        <w:rPr>
          <w:b/>
        </w:rPr>
        <w:t>Authors' contributions</w:t>
      </w:r>
      <w:r>
        <w:t xml:space="preserve">, </w:t>
      </w:r>
      <w:r>
        <w:rPr>
          <w:b/>
        </w:rPr>
        <w:t>Availability of data and materials</w:t>
      </w:r>
      <w:r>
        <w:t xml:space="preserve"> (with the C8 DOI), </w:t>
      </w:r>
      <w:r>
        <w:rPr>
          <w:b/>
        </w:rPr>
        <w:t>Ethics</w:t>
      </w:r>
      <w:r>
        <w:t xml:space="preserve"> (N/A acceptable).</w:t>
      </w:r>
    </w:p>
    <w:p w14:paraId="25722FB7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>Confirm "44" consistent across title, abstract and body.</w:t>
      </w:r>
    </w:p>
    <w:p w14:paraId="289D411F" w14:textId="77777777" w:rsidR="00B848FD" w:rsidRDefault="00B848FD">
      <w:pPr>
        <w:pBdr>
          <w:bottom w:val="single" w:sz="6" w:space="1" w:color="auto"/>
        </w:pBdr>
      </w:pPr>
    </w:p>
    <w:p w14:paraId="33D7FA3C" w14:textId="77777777" w:rsidR="00B848FD" w:rsidRDefault="00B76850">
      <w:pPr>
        <w:pStyle w:val="Heading2"/>
      </w:pPr>
      <w:r>
        <w:t>PART C — Execution order &amp; final verification</w:t>
      </w:r>
    </w:p>
    <w:p w14:paraId="7FA79D92" w14:textId="77777777" w:rsidR="00B848FD" w:rsidRDefault="00B76850">
      <w:r>
        <w:rPr>
          <w:b/>
        </w:rPr>
        <w:t>Recommended order:</w:t>
      </w:r>
      <w:r>
        <w:t xml:space="preserve"> C9 → C8 → C2, C3 (parallel) → </w:t>
      </w:r>
      <w:r>
        <w:rPr>
          <w:b/>
        </w:rPr>
        <w:t>[await team: C1, C4]</w:t>
      </w:r>
      <w:r>
        <w:t xml:space="preserve"> → C5 → C10 → C6 → C7, then M1 → M3 → M4 → M5.</w:t>
      </w:r>
    </w:p>
    <w:p w14:paraId="5C54D8B5" w14:textId="77777777" w:rsidR="00B848FD" w:rsidRDefault="00B76850">
      <w:r>
        <w:rPr>
          <w:b/>
        </w:rPr>
        <w:t>Final acceptance checklist:</w:t>
      </w:r>
    </w:p>
    <w:p w14:paraId="3E0A7C88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rFonts w:ascii="Courier New" w:hAnsi="Courier New"/>
          <w:sz w:val="18"/>
          <w:shd w:val="clear" w:color="auto" w:fill="F2F1F0"/>
        </w:rPr>
        <w:t>pytest -q</w:t>
      </w:r>
      <w:r>
        <w:t xml:space="preserve"> green incl. new tests for C2, C3, C5–C10; CI green (lint + LaTeX build, zero undefined refs).</w:t>
      </w:r>
    </w:p>
    <w:p w14:paraId="33585303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b/>
        </w:rPr>
        <w:t>[team]</w:t>
      </w:r>
      <w:r>
        <w:t xml:space="preserve"> Chemprop coverage restored; agent propagated new counts into the </w:t>
      </w:r>
      <w:r>
        <w:rPr>
          <w:rFonts w:ascii="Courier New" w:hAnsi="Courier New"/>
          <w:sz w:val="18"/>
          <w:shd w:val="clear" w:color="auto" w:fill="F2F1F0"/>
        </w:rPr>
        <w:t>.tex</w:t>
      </w:r>
      <w:r>
        <w:t xml:space="preserve"> from the artifact (C1→M4).</w:t>
      </w:r>
    </w:p>
    <w:p w14:paraId="5E755941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rFonts w:ascii="Courier New" w:hAnsi="Courier New"/>
          <w:sz w:val="18"/>
          <w:shd w:val="clear" w:color="auto" w:fill="F2F1F0"/>
        </w:rPr>
        <w:t>tdc22_multiseed.csv</w:t>
      </w:r>
      <w:r>
        <w:t xml:space="preserve"> present; abstract/§4 report mean ± SD for the TDC subset (C2).</w:t>
      </w:r>
    </w:p>
    <w:p w14:paraId="56EDF12C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rFonts w:ascii="Courier New" w:hAnsi="Courier New"/>
          <w:sz w:val="18"/>
          <w:shd w:val="clear" w:color="auto" w:fill="F2F1F0"/>
        </w:rPr>
        <w:t>applicability_domain.csv</w:t>
      </w:r>
      <w:r>
        <w:t xml:space="preserve"> present; AD table/figure in paper; OECD per-principle mapping complete with real numbers (C3, M1).</w:t>
      </w:r>
    </w:p>
    <w:p w14:paraId="014A07AB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b/>
        </w:rPr>
        <w:t>[team]</w:t>
      </w:r>
      <w:r>
        <w:t xml:space="preserve"> ensemble regenerated leakage-free; figures/tables/narrative updated (C4→M4).</w:t>
      </w:r>
    </w:p>
    <w:p w14:paraId="1014E711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rFonts w:ascii="Courier New" w:hAnsi="Courier New"/>
          <w:sz w:val="18"/>
          <w:shd w:val="clear" w:color="auto" w:fill="F2F1F0"/>
        </w:rPr>
        <w:t>admet_ai_parity.csv</w:t>
      </w:r>
      <w:r>
        <w:t xml:space="preserve"> present; title claim consistent with it (C5).</w:t>
      </w:r>
    </w:p>
    <w:p w14:paraId="0CF136A5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Zenodo DOI filled; </w:t>
      </w:r>
      <w:r>
        <w:rPr>
          <w:b/>
          <w:color w:val="1F5132"/>
          <w:position w:val="7"/>
          <w:sz w:val="18"/>
          <w:szCs w:val="18"/>
        </w:rPr>
        <w:t>45</w:t>
      </w:r>
      <w:r>
        <w:t xml:space="preserve">=Uni-Mol2 verified; no </w:t>
      </w:r>
      <w:r>
        <w:rPr>
          <w:rFonts w:ascii="Courier New" w:hAnsi="Courier New"/>
          <w:sz w:val="18"/>
          <w:shd w:val="clear" w:color="auto" w:fill="F2F1F0"/>
        </w:rPr>
        <w:t>[VERIFY]</w:t>
      </w:r>
      <w:r>
        <w:t>/</w:t>
      </w:r>
      <w:r>
        <w:rPr>
          <w:rFonts w:ascii="Courier New" w:hAnsi="Courier New"/>
          <w:sz w:val="18"/>
          <w:shd w:val="clear" w:color="auto" w:fill="F2F1F0"/>
        </w:rPr>
        <w:t>[AUTHOR]</w:t>
      </w:r>
      <w:r>
        <w:t>/</w:t>
      </w:r>
      <w:r>
        <w:rPr>
          <w:rFonts w:ascii="Courier New" w:hAnsi="Courier New"/>
          <w:sz w:val="18"/>
          <w:shd w:val="clear" w:color="auto" w:fill="F2F1F0"/>
        </w:rPr>
        <w:t>AutoQSAR</w:t>
      </w:r>
      <w:r>
        <w:t xml:space="preserve"> residue (M3, C9).</w:t>
      </w:r>
    </w:p>
    <w:p w14:paraId="1CCA1127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>[ ] Declarations complete; banner confirmed removed; "44" consistent everywhere (M5).</w:t>
      </w:r>
    </w:p>
    <w:p w14:paraId="0F00BFA7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•</w:t>
      </w:r>
      <w:r>
        <w:tab/>
        <w:t xml:space="preserve">[ ] </w:t>
      </w:r>
      <w:r>
        <w:rPr>
          <w:rFonts w:ascii="Courier New" w:hAnsi="Courier New"/>
          <w:sz w:val="18"/>
          <w:shd w:val="clear" w:color="auto" w:fill="F2F1F0"/>
        </w:rPr>
        <w:t>CHANGELOG.md</w:t>
      </w:r>
      <w:r>
        <w:t xml:space="preserve"> updated per task; Zenodo archive deposited and DOI live (C8).</w:t>
      </w:r>
    </w:p>
    <w:p w14:paraId="2AC52786" w14:textId="77777777" w:rsidR="00B848FD" w:rsidRDefault="00B76850">
      <w:r>
        <w:rPr>
          <w:b/>
        </w:rPr>
        <w:t>Reminder:</w:t>
      </w:r>
      <w:r>
        <w:t xml:space="preserve"> the agent must not duplicate team-owned Chemprop/ensemble work. The manuscript's reference and positioning debt is now largely cleared; the remaining high-value differentiators are the </w:t>
      </w:r>
      <w:r>
        <w:rPr>
          <w:b/>
        </w:rPr>
        <w:t>AD results + OECD per-principle mapping (C3→M1)</w:t>
      </w:r>
      <w:r>
        <w:t xml:space="preserve">, </w:t>
      </w:r>
      <w:r>
        <w:rPr>
          <w:b/>
        </w:rPr>
        <w:t>multi-seed (C2)</w:t>
      </w:r>
      <w:r>
        <w:t xml:space="preserve">, and the </w:t>
      </w:r>
      <w:r>
        <w:rPr>
          <w:b/>
        </w:rPr>
        <w:t>QMRF/QPRF export (C7)</w:t>
      </w:r>
      <w:r>
        <w:t>. Do not overwrite the manuscript's honest caveats.</w:t>
      </w:r>
    </w:p>
    <w:p w14:paraId="688A0433" w14:textId="77777777" w:rsidR="00B848FD" w:rsidRDefault="00B76850">
      <w:pPr>
        <w:pStyle w:val="Heading2"/>
      </w:pPr>
      <w:r>
        <w:t>References</w:t>
      </w:r>
    </w:p>
    <w:p w14:paraId="11D009C9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1.</w:t>
      </w:r>
      <w:r>
        <w:tab/>
      </w:r>
      <w:r>
        <w:t xml:space="preserve">Organisation for Economic Co-operation and Development (OECD). Microsoft Word - OECD Principles for QSAR Validation.doc. Retrieved 2026-09-25, from </w:t>
      </w:r>
      <w:hyperlink r:id="rId10">
        <w:r>
          <w:rPr>
            <w:color w:val="1F5132"/>
            <w:u w:val="single"/>
          </w:rPr>
          <w:t>https://www.oecd.org/content/dam/oecd/en/topics/policy-sub-issues/assessment-of-chemicals/oecd-principles-for-the-validation-for-regulatory-purposes-of-quantitative-structure-activity-relationship-models.pdf</w:t>
        </w:r>
      </w:hyperlink>
    </w:p>
    <w:p w14:paraId="7514195E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lastRenderedPageBreak/>
        <w:t>2.</w:t>
      </w:r>
      <w:r>
        <w:tab/>
        <w:t xml:space="preserve">Organisation for Economic Co-operation and Development (OECD). (Q)SAR Assessment Framework. Retrieved 2026-09-25, from </w:t>
      </w:r>
      <w:hyperlink r:id="rId11">
        <w:r>
          <w:rPr>
            <w:color w:val="1F5132"/>
            <w:u w:val="single"/>
          </w:rPr>
          <w:t>https://www.oecd.org/content/dam/oecd/en/publications/reports/2023/11/q-sar-assessment-framework-guidance-for-the-regulatory-assessment-of-quantitative-structure-activity-relationship-models-and-predictions_9b064821/d96118f6-en.pdf</w:t>
        </w:r>
      </w:hyperlink>
    </w:p>
    <w:p w14:paraId="1F1E1194" w14:textId="77777777" w:rsidR="00B848FD" w:rsidRDefault="00B76850">
      <w:pPr>
        <w:pStyle w:val="ListParagraph"/>
        <w:tabs>
          <w:tab w:val="left" w:pos="720"/>
        </w:tabs>
        <w:ind w:left="720" w:hanging="360"/>
      </w:pPr>
      <w:r>
        <w:t>3.</w:t>
      </w:r>
      <w:r>
        <w:tab/>
      </w:r>
      <w:r>
        <w:t>proof.pdf. Internal reference: file:26037#pages=33-34. Accessed 2026-09-25.</w:t>
      </w:r>
    </w:p>
    <w:sectPr w:rsidR="00B848FD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8F2C3" w14:textId="77777777" w:rsidR="00B76850" w:rsidRDefault="00B76850">
      <w:pPr>
        <w:spacing w:after="0" w:line="240" w:lineRule="auto"/>
      </w:pPr>
      <w:r>
        <w:separator/>
      </w:r>
    </w:p>
  </w:endnote>
  <w:endnote w:type="continuationSeparator" w:id="0">
    <w:p w14:paraId="377D6CF4" w14:textId="77777777" w:rsidR="00B76850" w:rsidRDefault="00B768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DBC87" w14:textId="77777777" w:rsidR="00B848FD" w:rsidRDefault="00B76850">
    <w:pPr>
      <w:tabs>
        <w:tab w:val="right" w:pos="9072"/>
      </w:tabs>
      <w:spacing w:after="0" w:line="240" w:lineRule="auto"/>
    </w:pPr>
    <w:r>
      <w:rPr>
        <w:noProof/>
      </w:rPr>
      <w:drawing>
        <wp:inline distT="0" distB="0" distL="0" distR="0" wp14:anchorId="4369D571" wp14:editId="4E2E17AF">
          <wp:extent cx="76200" cy="76200"/>
          <wp:effectExtent l="0" t="0" r="0" b="0"/>
          <wp:docPr id="1" name="HC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C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200" cy="76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5A5A5A"/>
        <w:sz w:val="16"/>
        <w:szCs w:val="16"/>
      </w:rPr>
      <w:t xml:space="preserve">  Generated by Human Chemical · 2026</w:t>
    </w:r>
    <w:r>
      <w:rPr>
        <w:rFonts w:ascii="Calibri" w:eastAsia="Calibri" w:hAnsi="Calibri" w:cs="Calibri"/>
        <w:color w:val="5A5A5A"/>
        <w:sz w:val="16"/>
        <w:szCs w:val="16"/>
      </w:rPr>
      <w:tab/>
    </w:r>
    <w:r>
      <w:rPr>
        <w:rFonts w:ascii="Calibri" w:eastAsia="Calibri" w:hAnsi="Calibri" w:cs="Calibri"/>
        <w:color w:val="5A5A5A"/>
        <w:sz w:val="16"/>
        <w:szCs w:val="16"/>
      </w:rPr>
      <w:fldChar w:fldCharType="begin"/>
    </w:r>
    <w:r>
      <w:rPr>
        <w:rFonts w:ascii="Calibri" w:eastAsia="Calibri" w:hAnsi="Calibri" w:cs="Calibri"/>
        <w:color w:val="5A5A5A"/>
        <w:sz w:val="16"/>
        <w:szCs w:val="16"/>
      </w:rPr>
      <w:instrText xml:space="preserve"> PAGE </w:instrText>
    </w:r>
    <w:r>
      <w:rPr>
        <w:rFonts w:ascii="Calibri" w:eastAsia="Calibri" w:hAnsi="Calibri" w:cs="Calibri"/>
        <w:color w:val="5A5A5A"/>
        <w:sz w:val="16"/>
        <w:szCs w:val="16"/>
      </w:rPr>
      <w:fldChar w:fldCharType="separate"/>
    </w:r>
    <w:r w:rsidR="0043329F">
      <w:rPr>
        <w:rFonts w:ascii="Calibri" w:eastAsia="Calibri" w:hAnsi="Calibri" w:cs="Calibri"/>
        <w:noProof/>
        <w:color w:val="5A5A5A"/>
        <w:sz w:val="16"/>
        <w:szCs w:val="16"/>
      </w:rPr>
      <w:t>1</w:t>
    </w:r>
    <w:r>
      <w:rPr>
        <w:rFonts w:ascii="Calibri" w:eastAsia="Calibri" w:hAnsi="Calibri" w:cs="Calibri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778A5" w14:textId="77777777" w:rsidR="00B76850" w:rsidRDefault="00B76850">
      <w:pPr>
        <w:spacing w:after="0" w:line="240" w:lineRule="auto"/>
      </w:pPr>
      <w:r>
        <w:separator/>
      </w:r>
    </w:p>
  </w:footnote>
  <w:footnote w:type="continuationSeparator" w:id="0">
    <w:p w14:paraId="1F153EBE" w14:textId="77777777" w:rsidR="00B76850" w:rsidRDefault="00B768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0B62D" w14:textId="77777777" w:rsidR="00B848FD" w:rsidRDefault="00B848F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E6D"/>
    <w:multiLevelType w:val="hybridMultilevel"/>
    <w:tmpl w:val="7E340CCC"/>
    <w:lvl w:ilvl="0" w:tplc="3828E48A">
      <w:start w:val="1"/>
      <w:numFmt w:val="bullet"/>
      <w:lvlText w:val="•"/>
      <w:lvlJc w:val="left"/>
      <w:pPr>
        <w:ind w:left="720" w:hanging="360"/>
      </w:pPr>
      <w:rPr>
        <w:rFonts w:ascii="Georgia" w:eastAsia="Georgia" w:hAnsi="Georgia" w:cs="Georgia"/>
        <w:color w:val="171717"/>
        <w:sz w:val="20"/>
        <w:szCs w:val="20"/>
      </w:rPr>
    </w:lvl>
    <w:lvl w:ilvl="1" w:tplc="2EB40F92">
      <w:start w:val="1"/>
      <w:numFmt w:val="bullet"/>
      <w:lvlText w:val="–"/>
      <w:lvlJc w:val="left"/>
      <w:pPr>
        <w:ind w:left="1440" w:hanging="360"/>
      </w:pPr>
      <w:rPr>
        <w:rFonts w:ascii="Georgia" w:eastAsia="Georgia" w:hAnsi="Georgia" w:cs="Georgia"/>
        <w:color w:val="171717"/>
        <w:sz w:val="20"/>
        <w:szCs w:val="20"/>
      </w:rPr>
    </w:lvl>
    <w:lvl w:ilvl="2" w:tplc="C76CFED8">
      <w:numFmt w:val="decimal"/>
      <w:lvlText w:val=""/>
      <w:lvlJc w:val="left"/>
    </w:lvl>
    <w:lvl w:ilvl="3" w:tplc="61EE5A3C">
      <w:numFmt w:val="decimal"/>
      <w:lvlText w:val=""/>
      <w:lvlJc w:val="left"/>
    </w:lvl>
    <w:lvl w:ilvl="4" w:tplc="34C6D9E2">
      <w:numFmt w:val="decimal"/>
      <w:lvlText w:val=""/>
      <w:lvlJc w:val="left"/>
    </w:lvl>
    <w:lvl w:ilvl="5" w:tplc="6734CDBE">
      <w:numFmt w:val="decimal"/>
      <w:lvlText w:val=""/>
      <w:lvlJc w:val="left"/>
    </w:lvl>
    <w:lvl w:ilvl="6" w:tplc="965022C2">
      <w:numFmt w:val="decimal"/>
      <w:lvlText w:val=""/>
      <w:lvlJc w:val="left"/>
    </w:lvl>
    <w:lvl w:ilvl="7" w:tplc="B55624AE">
      <w:numFmt w:val="decimal"/>
      <w:lvlText w:val=""/>
      <w:lvlJc w:val="left"/>
    </w:lvl>
    <w:lvl w:ilvl="8" w:tplc="6CB84B96">
      <w:numFmt w:val="decimal"/>
      <w:lvlText w:val=""/>
      <w:lvlJc w:val="left"/>
    </w:lvl>
  </w:abstractNum>
  <w:abstractNum w:abstractNumId="1" w15:restartNumberingAfterBreak="0">
    <w:nsid w:val="3E214B4E"/>
    <w:multiLevelType w:val="hybridMultilevel"/>
    <w:tmpl w:val="5BDA18C0"/>
    <w:lvl w:ilvl="0" w:tplc="FE72EFF2">
      <w:start w:val="1"/>
      <w:numFmt w:val="decimal"/>
      <w:lvlText w:val="%1."/>
      <w:lvlJc w:val="left"/>
      <w:pPr>
        <w:ind w:left="720" w:hanging="360"/>
      </w:pPr>
      <w:rPr>
        <w:rFonts w:ascii="Georgia" w:eastAsia="Georgia" w:hAnsi="Georgia" w:cs="Georgia"/>
        <w:color w:val="171717"/>
        <w:sz w:val="20"/>
        <w:szCs w:val="20"/>
      </w:rPr>
    </w:lvl>
    <w:lvl w:ilvl="1" w:tplc="D7E2AC8A">
      <w:start w:val="1"/>
      <w:numFmt w:val="lowerLetter"/>
      <w:lvlText w:val="%2."/>
      <w:lvlJc w:val="left"/>
      <w:pPr>
        <w:ind w:left="1440" w:hanging="360"/>
      </w:pPr>
      <w:rPr>
        <w:rFonts w:ascii="Georgia" w:eastAsia="Georgia" w:hAnsi="Georgia" w:cs="Georgia"/>
        <w:color w:val="171717"/>
        <w:sz w:val="20"/>
        <w:szCs w:val="20"/>
      </w:rPr>
    </w:lvl>
    <w:lvl w:ilvl="2" w:tplc="AB2C3C72">
      <w:numFmt w:val="decimal"/>
      <w:lvlText w:val=""/>
      <w:lvlJc w:val="left"/>
    </w:lvl>
    <w:lvl w:ilvl="3" w:tplc="573AC6C4">
      <w:numFmt w:val="decimal"/>
      <w:lvlText w:val=""/>
      <w:lvlJc w:val="left"/>
    </w:lvl>
    <w:lvl w:ilvl="4" w:tplc="D5FE2518">
      <w:numFmt w:val="decimal"/>
      <w:lvlText w:val=""/>
      <w:lvlJc w:val="left"/>
    </w:lvl>
    <w:lvl w:ilvl="5" w:tplc="943AEE18">
      <w:numFmt w:val="decimal"/>
      <w:lvlText w:val=""/>
      <w:lvlJc w:val="left"/>
    </w:lvl>
    <w:lvl w:ilvl="6" w:tplc="B45CA4F2">
      <w:numFmt w:val="decimal"/>
      <w:lvlText w:val=""/>
      <w:lvlJc w:val="left"/>
    </w:lvl>
    <w:lvl w:ilvl="7" w:tplc="4FB42790">
      <w:numFmt w:val="decimal"/>
      <w:lvlText w:val=""/>
      <w:lvlJc w:val="left"/>
    </w:lvl>
    <w:lvl w:ilvl="8" w:tplc="3022F950">
      <w:numFmt w:val="decimal"/>
      <w:lvlText w:val=""/>
      <w:lvlJc w:val="left"/>
    </w:lvl>
  </w:abstractNum>
  <w:abstractNum w:abstractNumId="2" w15:restartNumberingAfterBreak="0">
    <w:nsid w:val="6CB11E13"/>
    <w:multiLevelType w:val="hybridMultilevel"/>
    <w:tmpl w:val="E2F456C2"/>
    <w:lvl w:ilvl="0" w:tplc="AE069C5E">
      <w:start w:val="1"/>
      <w:numFmt w:val="bullet"/>
      <w:lvlText w:val="●"/>
      <w:lvlJc w:val="left"/>
      <w:pPr>
        <w:ind w:left="720" w:hanging="360"/>
      </w:pPr>
    </w:lvl>
    <w:lvl w:ilvl="1" w:tplc="635420DC">
      <w:start w:val="1"/>
      <w:numFmt w:val="bullet"/>
      <w:lvlText w:val="○"/>
      <w:lvlJc w:val="left"/>
      <w:pPr>
        <w:ind w:left="1440" w:hanging="360"/>
      </w:pPr>
    </w:lvl>
    <w:lvl w:ilvl="2" w:tplc="095C897C">
      <w:start w:val="1"/>
      <w:numFmt w:val="bullet"/>
      <w:lvlText w:val="■"/>
      <w:lvlJc w:val="left"/>
      <w:pPr>
        <w:ind w:left="2160" w:hanging="360"/>
      </w:pPr>
    </w:lvl>
    <w:lvl w:ilvl="3" w:tplc="C040F0B2">
      <w:start w:val="1"/>
      <w:numFmt w:val="bullet"/>
      <w:lvlText w:val="●"/>
      <w:lvlJc w:val="left"/>
      <w:pPr>
        <w:ind w:left="2880" w:hanging="360"/>
      </w:pPr>
    </w:lvl>
    <w:lvl w:ilvl="4" w:tplc="934074DE">
      <w:start w:val="1"/>
      <w:numFmt w:val="bullet"/>
      <w:lvlText w:val="○"/>
      <w:lvlJc w:val="left"/>
      <w:pPr>
        <w:ind w:left="3600" w:hanging="360"/>
      </w:pPr>
    </w:lvl>
    <w:lvl w:ilvl="5" w:tplc="0D70D2E8">
      <w:start w:val="1"/>
      <w:numFmt w:val="bullet"/>
      <w:lvlText w:val="■"/>
      <w:lvlJc w:val="left"/>
      <w:pPr>
        <w:ind w:left="4320" w:hanging="360"/>
      </w:pPr>
    </w:lvl>
    <w:lvl w:ilvl="6" w:tplc="A2726432">
      <w:start w:val="1"/>
      <w:numFmt w:val="bullet"/>
      <w:lvlText w:val="●"/>
      <w:lvlJc w:val="left"/>
      <w:pPr>
        <w:ind w:left="5040" w:hanging="360"/>
      </w:pPr>
    </w:lvl>
    <w:lvl w:ilvl="7" w:tplc="5C34BEA0">
      <w:start w:val="1"/>
      <w:numFmt w:val="bullet"/>
      <w:lvlText w:val="●"/>
      <w:lvlJc w:val="left"/>
      <w:pPr>
        <w:ind w:left="5760" w:hanging="360"/>
      </w:pPr>
    </w:lvl>
    <w:lvl w:ilvl="8" w:tplc="9A8C7D8E">
      <w:start w:val="1"/>
      <w:numFmt w:val="bullet"/>
      <w:lvlText w:val="●"/>
      <w:lvlJc w:val="left"/>
      <w:pPr>
        <w:ind w:left="6480" w:hanging="360"/>
      </w:pPr>
    </w:lvl>
  </w:abstractNum>
  <w:num w:numId="1" w16cid:durableId="1574389824">
    <w:abstractNumId w:val="2"/>
    <w:lvlOverride w:ilvl="0">
      <w:startOverride w:val="1"/>
    </w:lvlOverride>
  </w:num>
  <w:num w:numId="2" w16cid:durableId="1273056632">
    <w:abstractNumId w:val="0"/>
    <w:lvlOverride w:ilvl="0">
      <w:startOverride w:val="1"/>
    </w:lvlOverride>
  </w:num>
  <w:num w:numId="3" w16cid:durableId="15800973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8FD"/>
    <w:rsid w:val="0043329F"/>
    <w:rsid w:val="00857AD0"/>
    <w:rsid w:val="00B76850"/>
    <w:rsid w:val="00B8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2CF2C"/>
  <w15:docId w15:val="{98ED553B-75B2-49B1-AB48-CA6291D7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171717"/>
        <w:lang w:val="en-US" w:eastAsia="en-US" w:bidi="ar-SA"/>
      </w:rPr>
    </w:rPrDefault>
    <w:pPrDefault>
      <w:pPr>
        <w:spacing w:line="38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0" w:line="276" w:lineRule="auto"/>
    </w:pPr>
    <w:rPr>
      <w:rFonts w:ascii="Arial" w:eastAsia="Arial" w:hAnsi="Arial" w:cs="Arial"/>
      <w:color w:val="1A1A1A"/>
      <w:sz w:val="2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8" w:space="4" w:color="1F5132"/>
      </w:pBdr>
      <w:spacing w:before="280" w:after="160"/>
      <w:outlineLvl w:val="0"/>
    </w:pPr>
    <w:rPr>
      <w:b/>
      <w:color w:val="1F5132"/>
      <w:sz w:val="30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20" w:after="120"/>
      <w:outlineLvl w:val="1"/>
    </w:pPr>
    <w:rPr>
      <w:b/>
      <w:sz w:val="25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b/>
      <w:color w:val="1F5132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b/>
      <w:i/>
      <w:iCs/>
      <w:color w:val="171717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color w:val="171717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outlineLvl w:val="5"/>
    </w:pPr>
    <w:rPr>
      <w:b/>
      <w:color w:val="1717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b/>
      <w:color w:val="1F5132"/>
      <w:sz w:val="44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5132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qFormat/>
    <w:pPr>
      <w:pBdr>
        <w:left w:val="single" w:sz="12" w:space="8" w:color="E8E8E8"/>
      </w:pBdr>
      <w:spacing w:before="120" w:after="120" w:line="380" w:lineRule="exact"/>
      <w:ind w:left="480"/>
    </w:pPr>
    <w:rPr>
      <w:color w:val="5A6470"/>
      <w:sz w:val="20"/>
    </w:rPr>
  </w:style>
  <w:style w:type="paragraph" w:customStyle="1" w:styleId="TableHeader">
    <w:name w:val="Table Header"/>
    <w:basedOn w:val="Normal"/>
    <w:qFormat/>
    <w:pPr>
      <w:spacing w:before="40" w:after="40" w:line="240" w:lineRule="auto"/>
    </w:pPr>
    <w:rPr>
      <w:b/>
      <w:bCs/>
      <w:color w:val="FFFFFF"/>
      <w:sz w:val="20"/>
      <w:szCs w:val="17"/>
    </w:rPr>
  </w:style>
  <w:style w:type="paragraph" w:customStyle="1" w:styleId="TableBody">
    <w:name w:val="Table Body"/>
    <w:basedOn w:val="Normal"/>
    <w:qFormat/>
    <w:pPr>
      <w:spacing w:before="40" w:after="40" w:line="260" w:lineRule="auto"/>
    </w:pPr>
    <w:rPr>
      <w:sz w:val="20"/>
    </w:rPr>
  </w:style>
  <w:style w:type="paragraph" w:customStyle="1" w:styleId="CodeBlock">
    <w:name w:val="Code Block"/>
    <w:basedOn w:val="Normal"/>
    <w:qFormat/>
    <w:pPr>
      <w:spacing w:before="80" w:after="80" w:line="260" w:lineRule="auto"/>
    </w:pPr>
    <w:rPr>
      <w:rFonts w:ascii="Courier New" w:eastAsia="Courier New" w:hAnsi="Courier New" w:cs="Courier New"/>
      <w:color w:val="171717"/>
      <w:sz w:val="18"/>
      <w:szCs w:val="18"/>
    </w:rPr>
  </w:style>
  <w:style w:type="character" w:customStyle="1" w:styleId="InlineCode">
    <w:name w:val="Inline Code"/>
    <w:uiPriority w:val="99"/>
    <w:unhideWhenUsed/>
    <w:rPr>
      <w:rFonts w:ascii="Courier New" w:eastAsia="Courier New" w:hAnsi="Courier New" w:cs="Courier New"/>
      <w:color w:val="171717"/>
      <w:sz w:val="18"/>
      <w:szCs w:val="18"/>
      <w:shd w:val="clear" w:color="auto" w:fill="F2F1F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content/dam/oecd/en/publications/reports/2023/11/q-sar-assessment-framework-guidance-for-the-regulatory-assessment-of-quantitative-structure-activity-relationship-models-and-predictions_9b064821/d96118f6-en.pdf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oecd.org/content/dam/oecd/en/topics/policy-sub-issues/assessment-of-chemicals/oecd-principles-for-the-validation-for-regulatory-purposes-of-quantitative-structure-activity-relationship-models.pdf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oecd.org/content/dam/oecd/en/publications/reports/2023/11/q-sar-assessment-framework-guidance-for-the-regulatory-assessment-of-quantitative-structure-activity-relationship-models-and-predictions_9b064821/d96118f6-en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oecd.org/content/dam/oecd/en/topics/policy-sub-issues/assessment-of-chemicals/oecd-principles-for-the-validation-for-regulatory-purposes-of-quantitative-structure-activity-relationship-models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Scott.Coffin\Downloads\26037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2127</Words>
  <Characters>12124</Characters>
  <Application>Microsoft Office Word</Application>
  <DocSecurity>0</DocSecurity>
  <Lines>101</Lines>
  <Paragraphs>28</Paragraphs>
  <ScaleCrop>false</ScaleCrop>
  <Company/>
  <LinksUpToDate>false</LinksUpToDate>
  <CharactersWithSpaces>14223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Coffin, Scott@OEHHA</cp:lastModifiedBy>
  <cp:revision>1</cp:revision>
  <dcterms:created xsi:type="dcterms:W3CDTF">2026-03-05T17:19:00Z</dcterms:created>
  <dcterms:modified xsi:type="dcterms:W3CDTF">2026-09-25T21:17:00Z</dcterms:modified>
</cp:coreProperties>
</file>