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4E653" w14:textId="77777777" w:rsidR="00D51A26" w:rsidRDefault="009A6BC2">
      <w:pPr>
        <w:pStyle w:val="Heading1"/>
      </w:pPr>
      <w:proofErr w:type="spellStart"/>
      <w:r>
        <w:t>QSARena</w:t>
      </w:r>
      <w:proofErr w:type="spellEnd"/>
      <w:r>
        <w:t xml:space="preserve"> — IDE Agent Work Order (Manuscript </w:t>
      </w:r>
      <w:r>
        <w:rPr>
          <w:rFonts w:ascii="Courier New" w:hAnsi="Courier New"/>
          <w:sz w:val="18"/>
          <w:shd w:val="clear" w:color="auto" w:fill="F2F1F0"/>
        </w:rPr>
        <w:t>.</w:t>
      </w:r>
      <w:proofErr w:type="spellStart"/>
      <w:r>
        <w:rPr>
          <w:rFonts w:ascii="Courier New" w:hAnsi="Courier New"/>
          <w:sz w:val="18"/>
          <w:shd w:val="clear" w:color="auto" w:fill="F2F1F0"/>
        </w:rPr>
        <w:t>tex</w:t>
      </w:r>
      <w:proofErr w:type="spellEnd"/>
      <w:r>
        <w:t xml:space="preserve"> + Code, with Tests &amp; Verification)</w:t>
      </w:r>
    </w:p>
    <w:p w14:paraId="0414E987" w14:textId="77777777" w:rsidR="00D51A26" w:rsidRDefault="009A6BC2">
      <w:r>
        <w:rPr>
          <w:b/>
        </w:rPr>
        <w:t>Repo:</w:t>
      </w:r>
      <w:r>
        <w:t xml:space="preserve"> </w:t>
      </w:r>
      <w:r>
        <w:rPr>
          <w:rFonts w:ascii="Courier New" w:hAnsi="Courier New"/>
          <w:sz w:val="18"/>
          <w:shd w:val="clear" w:color="auto" w:fill="F2F1F0"/>
        </w:rPr>
        <w:t>github.com/</w:t>
      </w:r>
      <w:proofErr w:type="spellStart"/>
      <w:r>
        <w:rPr>
          <w:rFonts w:ascii="Courier New" w:hAnsi="Courier New"/>
          <w:sz w:val="18"/>
          <w:shd w:val="clear" w:color="auto" w:fill="F2F1F0"/>
        </w:rPr>
        <w:t>ScottCoffin</w:t>
      </w:r>
      <w:proofErr w:type="spellEnd"/>
      <w:r>
        <w:rPr>
          <w:rFonts w:ascii="Courier New" w:hAnsi="Courier New"/>
          <w:sz w:val="18"/>
          <w:shd w:val="clear" w:color="auto" w:fill="F2F1F0"/>
        </w:rPr>
        <w:t>/</w:t>
      </w:r>
      <w:proofErr w:type="spellStart"/>
      <w:r>
        <w:rPr>
          <w:rFonts w:ascii="Courier New" w:hAnsi="Courier New"/>
          <w:sz w:val="18"/>
          <w:shd w:val="clear" w:color="auto" w:fill="F2F1F0"/>
        </w:rPr>
        <w:t>QSARena</w:t>
      </w:r>
      <w:proofErr w:type="spellEnd"/>
      <w:r>
        <w:t xml:space="preserve"> · </w:t>
      </w:r>
      <w:r>
        <w:rPr>
          <w:b/>
        </w:rPr>
        <w:t>Package:</w:t>
      </w:r>
      <w:r>
        <w:t xml:space="preserve"> </w:t>
      </w:r>
      <w:proofErr w:type="spellStart"/>
      <w:r>
        <w:rPr>
          <w:rFonts w:ascii="Courier New" w:hAnsi="Courier New"/>
          <w:sz w:val="18"/>
          <w:shd w:val="clear" w:color="auto" w:fill="F2F1F0"/>
        </w:rPr>
        <w:t>qsarena</w:t>
      </w:r>
      <w:proofErr w:type="spellEnd"/>
      <w:r>
        <w:t xml:space="preserve"> (console scripts </w:t>
      </w:r>
      <w:proofErr w:type="spellStart"/>
      <w:r>
        <w:rPr>
          <w:rFonts w:ascii="Courier New" w:hAnsi="Courier New"/>
          <w:sz w:val="18"/>
          <w:shd w:val="clear" w:color="auto" w:fill="F2F1F0"/>
        </w:rPr>
        <w:t>qsarena</w:t>
      </w:r>
      <w:proofErr w:type="spellEnd"/>
      <w:r>
        <w:rPr>
          <w:rFonts w:ascii="Courier New" w:hAnsi="Courier New"/>
          <w:sz w:val="18"/>
          <w:shd w:val="clear" w:color="auto" w:fill="F2F1F0"/>
        </w:rPr>
        <w:t>-benchmark</w:t>
      </w:r>
      <w:r>
        <w:t xml:space="preserve">, </w:t>
      </w:r>
      <w:proofErr w:type="spellStart"/>
      <w:r>
        <w:rPr>
          <w:rFonts w:ascii="Courier New" w:hAnsi="Courier New"/>
          <w:sz w:val="18"/>
          <w:shd w:val="clear" w:color="auto" w:fill="F2F1F0"/>
        </w:rPr>
        <w:t>qsarena</w:t>
      </w:r>
      <w:proofErr w:type="spellEnd"/>
      <w:r>
        <w:rPr>
          <w:rFonts w:ascii="Courier New" w:hAnsi="Courier New"/>
          <w:sz w:val="18"/>
          <w:shd w:val="clear" w:color="auto" w:fill="F2F1F0"/>
        </w:rPr>
        <w:t>-applicability-</w:t>
      </w:r>
      <w:proofErr w:type="gramStart"/>
      <w:r>
        <w:rPr>
          <w:rFonts w:ascii="Courier New" w:hAnsi="Courier New"/>
          <w:sz w:val="18"/>
          <w:shd w:val="clear" w:color="auto" w:fill="F2F1F0"/>
        </w:rPr>
        <w:t>domain</w:t>
      </w:r>
      <w:r>
        <w:t>) ·</w:t>
      </w:r>
      <w:proofErr w:type="gramEnd"/>
      <w:r>
        <w:t xml:space="preserve"> </w:t>
      </w:r>
      <w:r>
        <w:rPr>
          <w:b/>
        </w:rPr>
        <w:t>Manuscript:</w:t>
      </w:r>
      <w:r>
        <w:t xml:space="preserve"> LaTeX proof (</w:t>
      </w:r>
      <w:r>
        <w:rPr>
          <w:rFonts w:ascii="Courier New" w:hAnsi="Courier New"/>
          <w:sz w:val="18"/>
          <w:shd w:val="clear" w:color="auto" w:fill="F2F1F0"/>
        </w:rPr>
        <w:t>proof.pdf</w:t>
      </w:r>
      <w:r>
        <w:t xml:space="preserve"> build; edit the </w:t>
      </w:r>
      <w:r>
        <w:rPr>
          <w:rFonts w:ascii="Courier New" w:hAnsi="Courier New"/>
          <w:sz w:val="18"/>
          <w:shd w:val="clear" w:color="auto" w:fill="F2F1F0"/>
        </w:rPr>
        <w:t>.</w:t>
      </w:r>
      <w:proofErr w:type="spellStart"/>
      <w:r>
        <w:rPr>
          <w:rFonts w:ascii="Courier New" w:hAnsi="Courier New"/>
          <w:sz w:val="18"/>
          <w:shd w:val="clear" w:color="auto" w:fill="F2F1F0"/>
        </w:rPr>
        <w:t>tex</w:t>
      </w:r>
      <w:proofErr w:type="spellEnd"/>
      <w:r>
        <w:t xml:space="preserve"> </w:t>
      </w:r>
      <w:proofErr w:type="gramStart"/>
      <w:r>
        <w:t xml:space="preserve">+ </w:t>
      </w:r>
      <w:r>
        <w:rPr>
          <w:rFonts w:ascii="Courier New" w:hAnsi="Courier New"/>
          <w:sz w:val="18"/>
          <w:shd w:val="clear" w:color="auto" w:fill="F2F1F0"/>
        </w:rPr>
        <w:t>.bib</w:t>
      </w:r>
      <w:proofErr w:type="gramEnd"/>
      <w:r>
        <w:t>)</w:t>
      </w:r>
      <w:r>
        <w:rPr>
          <w:b/>
        </w:rPr>
        <w:t>Audience:</w:t>
      </w:r>
      <w:r>
        <w:t xml:space="preserve"> autonomous coding agent that can edit </w:t>
      </w:r>
      <w:r>
        <w:rPr>
          <w:rFonts w:ascii="Courier New" w:hAnsi="Courier New"/>
          <w:sz w:val="18"/>
          <w:shd w:val="clear" w:color="auto" w:fill="F2F1F0"/>
        </w:rPr>
        <w:t>.</w:t>
      </w:r>
      <w:proofErr w:type="spellStart"/>
      <w:r>
        <w:rPr>
          <w:rFonts w:ascii="Courier New" w:hAnsi="Courier New"/>
          <w:sz w:val="18"/>
          <w:shd w:val="clear" w:color="auto" w:fill="F2F1F0"/>
        </w:rPr>
        <w:t>tex</w:t>
      </w:r>
      <w:proofErr w:type="spellEnd"/>
      <w:r>
        <w:t xml:space="preserve"> and code, write/run tests, and report verification.</w:t>
      </w:r>
    </w:p>
    <w:p w14:paraId="314F9EC2" w14:textId="77777777" w:rsidR="00D51A26" w:rsidRDefault="009A6BC2">
      <w:pPr>
        <w:pStyle w:val="Quote"/>
      </w:pPr>
      <w:r>
        <w:rPr>
          <w:b/>
        </w:rPr>
        <w:t>Scope note (v2):</w:t>
      </w:r>
      <w:r>
        <w:t xml:space="preserve"> Two workstreams are </w:t>
      </w:r>
      <w:r>
        <w:rPr>
          <w:b/>
        </w:rPr>
        <w:t>already being handled by the team and must NOT be re-implemented by the agent</w:t>
      </w:r>
      <w:r>
        <w:t xml:space="preserve"> — the </w:t>
      </w:r>
      <w:proofErr w:type="spellStart"/>
      <w:r>
        <w:t>Chemprop</w:t>
      </w:r>
      <w:proofErr w:type="spellEnd"/>
      <w:r>
        <w:t xml:space="preserve"> v2 backend fix (was C1) and the ensemble held-out-R² leakage fix (was C4). They are retained below as </w:t>
      </w:r>
      <w:r>
        <w:rPr>
          <w:b/>
        </w:rPr>
        <w:t>[TEAM-OWNED — verify/integrate only]</w:t>
      </w:r>
      <w:r>
        <w:t xml:space="preserve"> so dependencies and downstream propagation stay correct, but the agent should not diagnose or rewrite them. Focus agent effort on C2, C3, C5–C10 and the manuscript tasks.</w:t>
      </w:r>
    </w:p>
    <w:p w14:paraId="568A5397" w14:textId="77777777" w:rsidR="00D51A26" w:rsidRDefault="009A6BC2">
      <w:pPr>
        <w:pStyle w:val="Quote"/>
      </w:pPr>
      <w:r>
        <w:rPr>
          <w:b/>
        </w:rPr>
        <w:t>Ground rule:</w:t>
      </w:r>
      <w:r>
        <w:t xml:space="preserve"> do not fabricate results in the manuscript. Every manuscript number must come from a code run and be pasted from an output artifact. If a run is infeasible in budget, write the honest limitation — do not invent values.</w:t>
      </w:r>
    </w:p>
    <w:p w14:paraId="13B59CE7" w14:textId="77777777" w:rsidR="00D51A26" w:rsidRDefault="00D51A26">
      <w:pPr>
        <w:pBdr>
          <w:bottom w:val="single" w:sz="6" w:space="1" w:color="auto"/>
        </w:pBdr>
      </w:pPr>
    </w:p>
    <w:p w14:paraId="3951039D" w14:textId="77777777" w:rsidR="00D51A26" w:rsidRDefault="009A6BC2">
      <w:pPr>
        <w:pStyle w:val="Heading2"/>
      </w:pPr>
      <w:r>
        <w:t>0. Global conventions</w:t>
      </w:r>
    </w:p>
    <w:p w14:paraId="740472A0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1.</w:t>
      </w:r>
      <w:r>
        <w:tab/>
      </w:r>
      <w:r>
        <w:rPr>
          <w:b/>
        </w:rPr>
        <w:t>Branching:</w:t>
      </w:r>
      <w:r>
        <w:t xml:space="preserve"> one feature branch per workstream. Open a PR per branch with the acceptance checklist copied in.</w:t>
      </w:r>
    </w:p>
    <w:p w14:paraId="69AE6719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2.</w:t>
      </w:r>
      <w:r>
        <w:tab/>
      </w:r>
      <w:r>
        <w:rPr>
          <w:b/>
        </w:rPr>
        <w:t>Test framework:</w:t>
      </w:r>
      <w:r>
        <w:t xml:space="preserve"> </w:t>
      </w:r>
      <w:proofErr w:type="spellStart"/>
      <w:r>
        <w:rPr>
          <w:rFonts w:ascii="Courier New" w:hAnsi="Courier New"/>
          <w:sz w:val="18"/>
          <w:shd w:val="clear" w:color="auto" w:fill="F2F1F0"/>
        </w:rPr>
        <w:t>pytest</w:t>
      </w:r>
      <w:proofErr w:type="spellEnd"/>
      <w:r>
        <w:t xml:space="preserve">. Unit tests in </w:t>
      </w:r>
      <w:r>
        <w:rPr>
          <w:rFonts w:ascii="Courier New" w:hAnsi="Courier New"/>
          <w:sz w:val="18"/>
          <w:shd w:val="clear" w:color="auto" w:fill="F2F1F0"/>
        </w:rPr>
        <w:t>tests/unit/</w:t>
      </w:r>
      <w:r>
        <w:t xml:space="preserve">, integration in </w:t>
      </w:r>
      <w:r>
        <w:rPr>
          <w:rFonts w:ascii="Courier New" w:hAnsi="Courier New"/>
          <w:sz w:val="18"/>
          <w:shd w:val="clear" w:color="auto" w:fill="F2F1F0"/>
        </w:rPr>
        <w:t>tests/integration/</w:t>
      </w:r>
      <w:r>
        <w:t xml:space="preserve">. Every code task below leaves </w:t>
      </w:r>
      <w:proofErr w:type="spellStart"/>
      <w:r>
        <w:rPr>
          <w:rFonts w:ascii="Courier New" w:hAnsi="Courier New"/>
          <w:sz w:val="18"/>
          <w:shd w:val="clear" w:color="auto" w:fill="F2F1F0"/>
        </w:rPr>
        <w:t>pytest</w:t>
      </w:r>
      <w:proofErr w:type="spellEnd"/>
      <w:r>
        <w:rPr>
          <w:rFonts w:ascii="Courier New" w:hAnsi="Courier New"/>
          <w:sz w:val="18"/>
          <w:shd w:val="clear" w:color="auto" w:fill="F2F1F0"/>
        </w:rPr>
        <w:t xml:space="preserve"> -q</w:t>
      </w:r>
      <w:r>
        <w:t xml:space="preserve"> green.</w:t>
      </w:r>
    </w:p>
    <w:p w14:paraId="62B61767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3.</w:t>
      </w:r>
      <w:r>
        <w:tab/>
      </w:r>
      <w:r>
        <w:rPr>
          <w:b/>
        </w:rPr>
        <w:t>Determinism:</w:t>
      </w:r>
      <w:r>
        <w:t xml:space="preserve"> explicit seeds; no network/GPU dependence </w:t>
      </w:r>
      <w:proofErr w:type="gramStart"/>
      <w:r>
        <w:t>in</w:t>
      </w:r>
      <w:proofErr w:type="gramEnd"/>
      <w:r>
        <w:t xml:space="preserve"> default tests. Gate GPU/large-model tests </w:t>
      </w:r>
      <w:proofErr w:type="gramStart"/>
      <w:r>
        <w:t xml:space="preserve">behind </w:t>
      </w:r>
      <w:r>
        <w:rPr>
          <w:rFonts w:ascii="Courier New" w:hAnsi="Courier New"/>
          <w:sz w:val="18"/>
          <w:shd w:val="clear" w:color="auto" w:fill="F2F1F0"/>
        </w:rPr>
        <w:t>@pytest.mark.gpu</w:t>
      </w:r>
      <w:r>
        <w:t xml:space="preserve"> / </w:t>
      </w:r>
      <w:r>
        <w:rPr>
          <w:rFonts w:ascii="Courier New" w:hAnsi="Courier New"/>
          <w:sz w:val="18"/>
          <w:shd w:val="clear" w:color="auto" w:fill="F2F1F0"/>
        </w:rPr>
        <w:t>@pytest.mark</w:t>
      </w:r>
      <w:proofErr w:type="gramEnd"/>
      <w:r>
        <w:rPr>
          <w:rFonts w:ascii="Courier New" w:hAnsi="Courier New"/>
          <w:sz w:val="18"/>
          <w:shd w:val="clear" w:color="auto" w:fill="F2F1F0"/>
        </w:rPr>
        <w:t>.slow</w:t>
      </w:r>
      <w:r>
        <w:t>; provide a synthetic fixture (≤50 molecules) for fast CI.</w:t>
      </w:r>
    </w:p>
    <w:p w14:paraId="7EACA4C7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4.</w:t>
      </w:r>
      <w:r>
        <w:tab/>
      </w:r>
      <w:r>
        <w:rPr>
          <w:b/>
        </w:rPr>
        <w:t>CI:</w:t>
      </w:r>
      <w:r>
        <w:t xml:space="preserve"> GitHub Actions running </w:t>
      </w:r>
      <w:r>
        <w:rPr>
          <w:rFonts w:ascii="Courier New" w:hAnsi="Courier New"/>
          <w:sz w:val="18"/>
          <w:shd w:val="clear" w:color="auto" w:fill="F2F1F0"/>
        </w:rPr>
        <w:t>pip install -</w:t>
      </w:r>
      <w:proofErr w:type="gramStart"/>
      <w:r>
        <w:rPr>
          <w:rFonts w:ascii="Courier New" w:hAnsi="Courier New"/>
          <w:sz w:val="18"/>
          <w:shd w:val="clear" w:color="auto" w:fill="F2F1F0"/>
        </w:rPr>
        <w:t>e .</w:t>
      </w:r>
      <w:proofErr w:type="gramEnd"/>
      <w:r>
        <w:rPr>
          <w:rFonts w:ascii="Courier New" w:hAnsi="Courier New"/>
          <w:sz w:val="18"/>
          <w:shd w:val="clear" w:color="auto" w:fill="F2F1F0"/>
        </w:rPr>
        <w:t>[dev]</w:t>
      </w:r>
      <w:r>
        <w:t xml:space="preserve">, </w:t>
      </w:r>
      <w:proofErr w:type="spellStart"/>
      <w:r>
        <w:rPr>
          <w:rFonts w:ascii="Courier New" w:hAnsi="Courier New"/>
          <w:sz w:val="18"/>
          <w:shd w:val="clear" w:color="auto" w:fill="F2F1F0"/>
        </w:rPr>
        <w:t>pytest</w:t>
      </w:r>
      <w:proofErr w:type="spellEnd"/>
      <w:r>
        <w:rPr>
          <w:rFonts w:ascii="Courier New" w:hAnsi="Courier New"/>
          <w:sz w:val="18"/>
          <w:shd w:val="clear" w:color="auto" w:fill="F2F1F0"/>
        </w:rPr>
        <w:t xml:space="preserve"> -q -m "not </w:t>
      </w:r>
      <w:proofErr w:type="spellStart"/>
      <w:r>
        <w:rPr>
          <w:rFonts w:ascii="Courier New" w:hAnsi="Courier New"/>
          <w:sz w:val="18"/>
          <w:shd w:val="clear" w:color="auto" w:fill="F2F1F0"/>
        </w:rPr>
        <w:t>gpu</w:t>
      </w:r>
      <w:proofErr w:type="spellEnd"/>
      <w:r>
        <w:rPr>
          <w:rFonts w:ascii="Courier New" w:hAnsi="Courier New"/>
          <w:sz w:val="18"/>
          <w:shd w:val="clear" w:color="auto" w:fill="F2F1F0"/>
        </w:rPr>
        <w:t xml:space="preserve"> and not slow"</w:t>
      </w:r>
      <w:r>
        <w:t>, lint, and a LaTeX build (</w:t>
      </w:r>
      <w:proofErr w:type="spellStart"/>
      <w:r>
        <w:rPr>
          <w:rFonts w:ascii="Courier New" w:hAnsi="Courier New"/>
          <w:sz w:val="18"/>
          <w:shd w:val="clear" w:color="auto" w:fill="F2F1F0"/>
        </w:rPr>
        <w:t>latexmk</w:t>
      </w:r>
      <w:proofErr w:type="spellEnd"/>
      <w:r>
        <w:rPr>
          <w:rFonts w:ascii="Courier New" w:hAnsi="Courier New"/>
          <w:sz w:val="18"/>
          <w:shd w:val="clear" w:color="auto" w:fill="F2F1F0"/>
        </w:rPr>
        <w:t xml:space="preserve"> -pdf</w:t>
      </w:r>
      <w:r>
        <w:t xml:space="preserve">) that compiles with </w:t>
      </w:r>
      <w:r>
        <w:rPr>
          <w:b/>
        </w:rPr>
        <w:t>zero undefined references/citations</w:t>
      </w:r>
      <w:r>
        <w:t>.</w:t>
      </w:r>
    </w:p>
    <w:p w14:paraId="403A68BE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5.</w:t>
      </w:r>
      <w:r>
        <w:tab/>
      </w:r>
      <w:r>
        <w:rPr>
          <w:b/>
        </w:rPr>
        <w:t xml:space="preserve">Definition of </w:t>
      </w:r>
      <w:proofErr w:type="gramStart"/>
      <w:r>
        <w:rPr>
          <w:b/>
        </w:rPr>
        <w:t>done:</w:t>
      </w:r>
      <w:proofErr w:type="gramEnd"/>
      <w:r>
        <w:t xml:space="preserve"> code merged + tests green + </w:t>
      </w:r>
      <w:r>
        <w:rPr>
          <w:rFonts w:ascii="Courier New" w:hAnsi="Courier New"/>
          <w:sz w:val="18"/>
          <w:shd w:val="clear" w:color="auto" w:fill="F2F1F0"/>
        </w:rPr>
        <w:t>CHANGELOG.md</w:t>
      </w:r>
      <w:r>
        <w:t xml:space="preserve"> entry + any manuscript number it feeds updated in the </w:t>
      </w:r>
      <w:r>
        <w:rPr>
          <w:rFonts w:ascii="Courier New" w:hAnsi="Courier New"/>
          <w:sz w:val="18"/>
          <w:shd w:val="clear" w:color="auto" w:fill="F2F1F0"/>
        </w:rPr>
        <w:t>.</w:t>
      </w:r>
      <w:proofErr w:type="spellStart"/>
      <w:r>
        <w:rPr>
          <w:rFonts w:ascii="Courier New" w:hAnsi="Courier New"/>
          <w:sz w:val="18"/>
          <w:shd w:val="clear" w:color="auto" w:fill="F2F1F0"/>
        </w:rPr>
        <w:t>tex</w:t>
      </w:r>
      <w:proofErr w:type="spellEnd"/>
      <w:r>
        <w:t xml:space="preserve"> from the generated artifact.</w:t>
      </w:r>
    </w:p>
    <w:p w14:paraId="1BD12402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6.</w:t>
      </w:r>
      <w:r>
        <w:tab/>
      </w:r>
      <w:r>
        <w:rPr>
          <w:b/>
        </w:rPr>
        <w:t>Priority tiers:</w:t>
      </w:r>
      <w:r>
        <w:t xml:space="preserve"> </w:t>
      </w:r>
      <w:r>
        <w:rPr>
          <w:b/>
        </w:rPr>
        <w:t>[BLOCK]</w:t>
      </w:r>
      <w:r>
        <w:t xml:space="preserve"> required before </w:t>
      </w:r>
      <w:proofErr w:type="gramStart"/>
      <w:r>
        <w:t xml:space="preserve">submission · </w:t>
      </w:r>
      <w:r>
        <w:rPr>
          <w:b/>
        </w:rPr>
        <w:t>[</w:t>
      </w:r>
      <w:proofErr w:type="gramEnd"/>
      <w:r>
        <w:rPr>
          <w:b/>
        </w:rPr>
        <w:t>DIFF]</w:t>
      </w:r>
      <w:r>
        <w:t xml:space="preserve"> high-value </w:t>
      </w:r>
      <w:proofErr w:type="gramStart"/>
      <w:r>
        <w:t xml:space="preserve">differentiator · </w:t>
      </w:r>
      <w:r>
        <w:rPr>
          <w:b/>
        </w:rPr>
        <w:t>[</w:t>
      </w:r>
      <w:proofErr w:type="gramEnd"/>
      <w:r>
        <w:rPr>
          <w:b/>
        </w:rPr>
        <w:t>ENH]</w:t>
      </w:r>
      <w:r>
        <w:t xml:space="preserve"> </w:t>
      </w:r>
      <w:proofErr w:type="gramStart"/>
      <w:r>
        <w:t xml:space="preserve">enhancement · </w:t>
      </w:r>
      <w:r>
        <w:rPr>
          <w:b/>
        </w:rPr>
        <w:t>[</w:t>
      </w:r>
      <w:proofErr w:type="gramEnd"/>
      <w:r>
        <w:rPr>
          <w:b/>
        </w:rPr>
        <w:t>TEAM-OWNED]</w:t>
      </w:r>
      <w:r>
        <w:t xml:space="preserve"> handled outside this work order.</w:t>
      </w:r>
    </w:p>
    <w:p w14:paraId="415F122E" w14:textId="77777777" w:rsidR="00D51A26" w:rsidRDefault="00D51A26">
      <w:pPr>
        <w:pBdr>
          <w:bottom w:val="single" w:sz="6" w:space="1" w:color="auto"/>
        </w:pBdr>
      </w:pPr>
    </w:p>
    <w:p w14:paraId="7749440D" w14:textId="77777777" w:rsidR="00D51A26" w:rsidRDefault="009A6BC2">
      <w:pPr>
        <w:pStyle w:val="Heading2"/>
      </w:pPr>
      <w:r>
        <w:lastRenderedPageBreak/>
        <w:t>PART A — CODE TASKS (with tests &amp; verification)</w:t>
      </w:r>
    </w:p>
    <w:p w14:paraId="50C4A2A7" w14:textId="77777777" w:rsidR="00D51A26" w:rsidRDefault="009A6BC2">
      <w:pPr>
        <w:pStyle w:val="Heading3"/>
      </w:pPr>
      <w:r>
        <w:t xml:space="preserve">C1 [TEAM-OWNED — verify/integrate only] </w:t>
      </w:r>
      <w:proofErr w:type="spellStart"/>
      <w:r>
        <w:t>Chemprop</w:t>
      </w:r>
      <w:proofErr w:type="spellEnd"/>
      <w:r>
        <w:t xml:space="preserve"> v2 backend</w:t>
      </w:r>
    </w:p>
    <w:p w14:paraId="22A0CB4B" w14:textId="77777777" w:rsidR="00D51A26" w:rsidRDefault="009A6BC2">
      <w:r>
        <w:t xml:space="preserve">The team is restoring the failing </w:t>
      </w:r>
      <w:proofErr w:type="spellStart"/>
      <w:r>
        <w:t>Chemprop</w:t>
      </w:r>
      <w:proofErr w:type="spellEnd"/>
      <w:r>
        <w:t xml:space="preserve"> variants (currently four of five </w:t>
      </w:r>
      <w:proofErr w:type="gramStart"/>
      <w:r>
        <w:t>fail</w:t>
      </w:r>
      <w:proofErr w:type="gramEnd"/>
      <w:r>
        <w:t xml:space="preserve">, leaving all </w:t>
      </w:r>
      <w:proofErr w:type="spellStart"/>
      <w:r>
        <w:t>Chemprop</w:t>
      </w:r>
      <w:proofErr w:type="spellEnd"/>
      <w:r>
        <w:t xml:space="preserve"> variants valid on only 6 of 44). </w:t>
      </w:r>
      <w:r>
        <w:rPr>
          <w:b/>
        </w:rPr>
        <w:t>Agent does NOT diagnose or rewrite the backend.</w:t>
      </w:r>
      <w:r>
        <w:t xml:space="preserve"> Agent responsibilities are limited to:</w:t>
      </w:r>
    </w:p>
    <w:p w14:paraId="0DA3C1EF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  <w:t>Confirm a regression test exists that runs each of the five variants to a finite metric on the synthetic fixture (both a regression and a classification task); if absent, add that thin guard only.</w:t>
      </w:r>
    </w:p>
    <w:p w14:paraId="5E539E73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  <w:t xml:space="preserve">Once the team's fix lands, </w:t>
      </w:r>
      <w:r>
        <w:rPr>
          <w:b/>
        </w:rPr>
        <w:t>consume the updated coverage counts</w:t>
      </w:r>
      <w:r>
        <w:t xml:space="preserve"> and propagate them into Table 1/Table 3, §3.9, and the abstract (see M4). Do not hand-edit these numbers — pull them from the regenerated results artifact.</w:t>
      </w:r>
    </w:p>
    <w:p w14:paraId="48F29D8F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</w:r>
      <w:r>
        <w:t>Unblock C5 (ADMET-AI parity) once the D-MPNN+RDKit2D variant runs across the suite.</w:t>
      </w:r>
    </w:p>
    <w:p w14:paraId="1E93537D" w14:textId="77777777" w:rsidR="00D51A26" w:rsidRDefault="009A6BC2">
      <w:pPr>
        <w:pStyle w:val="Heading3"/>
      </w:pPr>
      <w:r>
        <w:t>C2 [BLOCK] Execute multi-seed evaluation and report mean ± SD</w:t>
      </w:r>
    </w:p>
    <w:p w14:paraId="14F6A267" w14:textId="77777777" w:rsidR="00D51A26" w:rsidRDefault="009A6BC2">
      <w:r>
        <w:rPr>
          <w:b/>
        </w:rPr>
        <w:t>Why:</w:t>
      </w:r>
      <w:r>
        <w:t xml:space="preserve"> the principal stated limitation is single split/single seed; the TDC </w:t>
      </w:r>
      <w:proofErr w:type="gramStart"/>
      <w:r>
        <w:t>convention is mean ±</w:t>
      </w:r>
      <w:proofErr w:type="gramEnd"/>
      <w:r>
        <w:t xml:space="preserve"> SD over five seeds. The runner exposes </w:t>
      </w:r>
      <w:r>
        <w:rPr>
          <w:rFonts w:ascii="Courier New" w:hAnsi="Courier New"/>
          <w:sz w:val="18"/>
          <w:shd w:val="clear" w:color="auto" w:fill="F2F1F0"/>
        </w:rPr>
        <w:t>--run-tdc22-multiseed-best</w:t>
      </w:r>
      <w:r>
        <w:t xml:space="preserve"> but it never executed (it runs only after all datasets finish, and the run was interrupted</w:t>
      </w:r>
      <w:proofErr w:type="gramStart"/>
      <w:r>
        <w:t>).</w:t>
      </w:r>
      <w:r>
        <w:rPr>
          <w:b/>
        </w:rPr>
        <w:t>Do</w:t>
      </w:r>
      <w:proofErr w:type="gramEnd"/>
      <w:r>
        <w:rPr>
          <w:b/>
        </w:rPr>
        <w:t>:</w:t>
      </w:r>
    </w:p>
    <w:p w14:paraId="54C1018A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  <w:t xml:space="preserve">Make the multi-seed stage runnable </w:t>
      </w:r>
      <w:r>
        <w:rPr>
          <w:b/>
        </w:rPr>
        <w:t>independently</w:t>
      </w:r>
      <w:r>
        <w:t xml:space="preserve"> of a full end-to-end run and resumable, e.g. </w:t>
      </w:r>
      <w:proofErr w:type="spellStart"/>
      <w:r>
        <w:rPr>
          <w:rFonts w:ascii="Courier New" w:hAnsi="Courier New"/>
          <w:sz w:val="18"/>
          <w:shd w:val="clear" w:color="auto" w:fill="F2F1F0"/>
        </w:rPr>
        <w:t>qsarena</w:t>
      </w:r>
      <w:proofErr w:type="spellEnd"/>
      <w:r>
        <w:rPr>
          <w:rFonts w:ascii="Courier New" w:hAnsi="Courier New"/>
          <w:sz w:val="18"/>
          <w:shd w:val="clear" w:color="auto" w:fill="F2F1F0"/>
        </w:rPr>
        <w:t>-benchmark --tdc22-multiseed --seeds 5 --resume</w:t>
      </w:r>
      <w:r>
        <w:t>, reading cached per-dataset artifacts and running only the seed replicates.</w:t>
      </w:r>
    </w:p>
    <w:p w14:paraId="0B64E6D9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  <w:t xml:space="preserve">Run 5 seeds over the </w:t>
      </w:r>
      <w:r>
        <w:rPr>
          <w:b/>
        </w:rPr>
        <w:t>22 official TDC datasets</w:t>
      </w:r>
      <w:r>
        <w:t xml:space="preserve"> (not the full 44, to fit budget). Aggregate to mean ± SD per dataset/metric and per family; write </w:t>
      </w:r>
      <w:r>
        <w:rPr>
          <w:rFonts w:ascii="Courier New" w:hAnsi="Courier New"/>
          <w:sz w:val="18"/>
          <w:shd w:val="clear" w:color="auto" w:fill="F2F1F0"/>
        </w:rPr>
        <w:t>results/tdc22_multiseed.csv</w:t>
      </w:r>
      <w:r>
        <w:t xml:space="preserve"> plus a "single-seed winner within 1 SD of best?" </w:t>
      </w:r>
      <w:proofErr w:type="spellStart"/>
      <w:r>
        <w:t>flag.</w:t>
      </w:r>
      <w:r>
        <w:rPr>
          <w:b/>
        </w:rPr>
        <w:t>Tests</w:t>
      </w:r>
      <w:proofErr w:type="spellEnd"/>
      <w:r>
        <w:rPr>
          <w:b/>
        </w:rPr>
        <w:t>:</w:t>
      </w:r>
      <w:r>
        <w:t xml:space="preserve"> unit-test the aggregation (synthetic per-seed metrics → correct mean/SD and within-1-SD flag); integration-test a 2-seed run on the fixture that is kill-and-resume safe with no partial </w:t>
      </w:r>
      <w:proofErr w:type="spellStart"/>
      <w:r>
        <w:t>corruption.</w:t>
      </w:r>
      <w:r>
        <w:rPr>
          <w:b/>
        </w:rPr>
        <w:t>Verify</w:t>
      </w:r>
      <w:proofErr w:type="spellEnd"/>
      <w:r>
        <w:rPr>
          <w:b/>
        </w:rPr>
        <w:t>:</w:t>
      </w:r>
      <w:r>
        <w:t xml:space="preserve"> </w:t>
      </w:r>
      <w:r>
        <w:rPr>
          <w:rFonts w:ascii="Courier New" w:hAnsi="Courier New"/>
          <w:sz w:val="18"/>
          <w:shd w:val="clear" w:color="auto" w:fill="F2F1F0"/>
        </w:rPr>
        <w:t>results/tdc22_multiseed.csv</w:t>
      </w:r>
      <w:r>
        <w:t xml:space="preserve"> present (5×22); §4 and abstract updated to report mean ± SD for the TDC subset and which conclusions survive variance. Keep the honest caveat for datasets that remain </w:t>
      </w:r>
      <w:proofErr w:type="gramStart"/>
      <w:r>
        <w:t>single-seed</w:t>
      </w:r>
      <w:proofErr w:type="gramEnd"/>
      <w:r>
        <w:t>.</w:t>
      </w:r>
    </w:p>
    <w:p w14:paraId="38F8D2E5" w14:textId="77777777" w:rsidR="00D51A26" w:rsidRDefault="009A6BC2">
      <w:pPr>
        <w:pStyle w:val="Heading3"/>
      </w:pPr>
      <w:r>
        <w:t>C3 [DIFF] Exercise the applicability-domain (AD) utilities and report them</w:t>
      </w:r>
    </w:p>
    <w:p w14:paraId="3CBF80A5" w14:textId="77777777" w:rsidR="00D51A26" w:rsidRDefault="009A6BC2">
      <w:r>
        <w:rPr>
          <w:b/>
        </w:rPr>
        <w:t>Why:</w:t>
      </w:r>
      <w:r>
        <w:t xml:space="preserve"> the workspace has AD utilities but the benchmark "does not report … domain-of-applicability diagnostics, which matter for regulatory use." This is the highest-value regulatory differentiator (cf. </w:t>
      </w:r>
      <w:proofErr w:type="spellStart"/>
      <w:r>
        <w:t>MetaQSAR</w:t>
      </w:r>
      <w:proofErr w:type="spellEnd"/>
      <w:r>
        <w:t>, which ships two AD methods</w:t>
      </w:r>
      <w:proofErr w:type="gramStart"/>
      <w:r>
        <w:t>).</w:t>
      </w:r>
      <w:r>
        <w:rPr>
          <w:b/>
        </w:rPr>
        <w:t>Do</w:t>
      </w:r>
      <w:proofErr w:type="gramEnd"/>
      <w:r>
        <w:rPr>
          <w:b/>
        </w:rPr>
        <w:t>:</w:t>
      </w:r>
    </w:p>
    <w:p w14:paraId="19B71189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  <w:t>Implement/confirm two AD methods: (a) a distance/leverage or descriptor-range "standardization" approach for structural outliers, and (b) a reliability/confidence approach (conformal nonconformity, or a probability threshold for classification).</w:t>
      </w:r>
    </w:p>
    <w:p w14:paraId="1F287536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</w:r>
      <w:r>
        <w:t xml:space="preserve">Per dataset, compute test-set </w:t>
      </w:r>
      <w:r>
        <w:rPr>
          <w:b/>
        </w:rPr>
        <w:t>AD coverage</w:t>
      </w:r>
      <w:r>
        <w:t xml:space="preserve"> (fraction in-domain) and </w:t>
      </w:r>
      <w:r>
        <w:rPr>
          <w:b/>
        </w:rPr>
        <w:t>in- vs out-of-domain accuracy</w:t>
      </w:r>
      <w:r>
        <w:t xml:space="preserve">; write </w:t>
      </w:r>
      <w:r>
        <w:rPr>
          <w:rFonts w:ascii="Courier New" w:hAnsi="Courier New"/>
          <w:sz w:val="18"/>
          <w:shd w:val="clear" w:color="auto" w:fill="F2F1F0"/>
        </w:rPr>
        <w:t>results/applicability_domain.csv</w:t>
      </w:r>
      <w:r>
        <w:t xml:space="preserve">; add AD to per-run reports and per-molecule prediction </w:t>
      </w:r>
      <w:proofErr w:type="spellStart"/>
      <w:r>
        <w:t>files.</w:t>
      </w:r>
      <w:r>
        <w:rPr>
          <w:b/>
        </w:rPr>
        <w:t>Tests</w:t>
      </w:r>
      <w:proofErr w:type="spellEnd"/>
      <w:r>
        <w:rPr>
          <w:b/>
        </w:rPr>
        <w:t>:</w:t>
      </w:r>
      <w:r>
        <w:t xml:space="preserve"> unit tests on AD math (known in/out points → correct flags; conformal coverage ≈ target on synthetic data); integration test that </w:t>
      </w:r>
      <w:proofErr w:type="spellStart"/>
      <w:r>
        <w:rPr>
          <w:rFonts w:ascii="Courier New" w:hAnsi="Courier New"/>
          <w:sz w:val="18"/>
          <w:shd w:val="clear" w:color="auto" w:fill="F2F1F0"/>
        </w:rPr>
        <w:t>qsarena</w:t>
      </w:r>
      <w:proofErr w:type="spellEnd"/>
      <w:r>
        <w:rPr>
          <w:rFonts w:ascii="Courier New" w:hAnsi="Courier New"/>
          <w:sz w:val="18"/>
          <w:shd w:val="clear" w:color="auto" w:fill="F2F1F0"/>
        </w:rPr>
        <w:t>-applicability-domain</w:t>
      </w:r>
      <w:r>
        <w:t xml:space="preserve"> runs end-to-end on the fixture and writes the </w:t>
      </w:r>
      <w:proofErr w:type="spellStart"/>
      <w:r>
        <w:t>CSV.</w:t>
      </w:r>
      <w:r>
        <w:rPr>
          <w:b/>
        </w:rPr>
        <w:t>Verify</w:t>
      </w:r>
      <w:proofErr w:type="spellEnd"/>
      <w:r>
        <w:rPr>
          <w:b/>
        </w:rPr>
        <w:t>:</w:t>
      </w:r>
      <w:r>
        <w:t xml:space="preserve"> AD results </w:t>
      </w:r>
      <w:r>
        <w:lastRenderedPageBreak/>
        <w:t>exist for the 22 TDC datasets and appear as a new table/figure the manuscript cites (feeds M1). Out-of-domain error measurably higher than in-domain on ≥1 documented case.</w:t>
      </w:r>
    </w:p>
    <w:p w14:paraId="6E25542F" w14:textId="77777777" w:rsidR="00D51A26" w:rsidRDefault="009A6BC2">
      <w:pPr>
        <w:pStyle w:val="Heading3"/>
      </w:pPr>
      <w:r>
        <w:t>C4 [TEAM-OWNED — verify/integrate only] Ensemble leakage-free member selection</w:t>
      </w:r>
    </w:p>
    <w:p w14:paraId="291B786D" w14:textId="77777777" w:rsidR="00D51A26" w:rsidRDefault="009A6BC2">
      <w:r>
        <w:t xml:space="preserve">The team is replacing held-out-R² member filtering with a leakage-free (CV-based, training-partition-only) default. </w:t>
      </w:r>
      <w:r>
        <w:rPr>
          <w:b/>
        </w:rPr>
        <w:t>Agent does NOT re-implement selection logic.</w:t>
      </w:r>
      <w:r>
        <w:t xml:space="preserve"> Agent responsibilities:</w:t>
      </w:r>
    </w:p>
    <w:p w14:paraId="1DE7B010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</w:r>
      <w:r>
        <w:t xml:space="preserve">Confirm a unit test exists asserting that, in the default mode, member selection </w:t>
      </w:r>
      <w:r>
        <w:rPr>
          <w:b/>
        </w:rPr>
        <w:t>never reads the test partition</w:t>
      </w:r>
      <w:r>
        <w:t xml:space="preserve"> (spy/mock the held-out array); add that guard only if missing.</w:t>
      </w:r>
    </w:p>
    <w:p w14:paraId="5C5A0DB5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  <w:t xml:space="preserve">Once the team's change lands, regenerate-dependent artifacts are consumed for the manuscript: update Fig 2, Table 3, and §3.3/§3.5 narrative from the regenerated </w:t>
      </w:r>
      <w:proofErr w:type="gramStart"/>
      <w:r>
        <w:t>results, and</w:t>
      </w:r>
      <w:proofErr w:type="gramEnd"/>
      <w:r>
        <w:t xml:space="preserve"> keep (but re-word) the "not a like-for-like competitor" caveat to reflect the corrected configuration (see M4).</w:t>
      </w:r>
    </w:p>
    <w:p w14:paraId="05CCC5EE" w14:textId="77777777" w:rsidR="00D51A26" w:rsidRDefault="009A6BC2">
      <w:pPr>
        <w:pStyle w:val="Heading3"/>
      </w:pPr>
      <w:r>
        <w:t>C5 [BLOCK — unblocked once C1 lands] ADMET-AI parity comparison</w:t>
      </w:r>
    </w:p>
    <w:p w14:paraId="1BD1E187" w14:textId="77777777" w:rsidR="00D51A26" w:rsidRDefault="009A6BC2">
      <w:r>
        <w:rPr>
          <w:b/>
        </w:rPr>
        <w:t>Why:</w:t>
      </w:r>
      <w:r>
        <w:t xml:space="preserve"> the title claims models "Perform Comparably to Pretrained Molecular Models"; ADMET-AI is the reference open tool, but the ADMET-AI-equivalent path (</w:t>
      </w:r>
      <w:proofErr w:type="spellStart"/>
      <w:r>
        <w:t>Chemprop</w:t>
      </w:r>
      <w:proofErr w:type="spellEnd"/>
      <w:r>
        <w:t xml:space="preserve"> v2 D-MPNN+RDKit2D) ran on only 6/44, so parity is currently </w:t>
      </w:r>
      <w:proofErr w:type="spellStart"/>
      <w:proofErr w:type="gramStart"/>
      <w:r>
        <w:t>untested.</w:t>
      </w:r>
      <w:r>
        <w:rPr>
          <w:b/>
        </w:rPr>
        <w:t>Do</w:t>
      </w:r>
      <w:proofErr w:type="spellEnd"/>
      <w:proofErr w:type="gramEnd"/>
      <w:r>
        <w:rPr>
          <w:b/>
        </w:rPr>
        <w:t>:</w:t>
      </w:r>
      <w:r>
        <w:t xml:space="preserve"> after the team's </w:t>
      </w:r>
      <w:proofErr w:type="spellStart"/>
      <w:r>
        <w:t>Chemprop</w:t>
      </w:r>
      <w:proofErr w:type="spellEnd"/>
      <w:r>
        <w:t xml:space="preserve"> fix, run the D-MPNN+RDKit2D variant across the 22 TDC datasets and build a head-to-head table against ADMET-AI's </w:t>
      </w:r>
      <w:r>
        <w:rPr>
          <w:b/>
        </w:rPr>
        <w:t>published</w:t>
      </w:r>
      <w:r>
        <w:t xml:space="preserve"> TDC values (and, if feasible, a local ADMET-AI pip run for a true same-split comparison). Emit </w:t>
      </w:r>
      <w:r>
        <w:rPr>
          <w:rFonts w:ascii="Courier New" w:hAnsi="Courier New"/>
          <w:sz w:val="18"/>
          <w:shd w:val="clear" w:color="auto" w:fill="F2F1F0"/>
        </w:rPr>
        <w:t>results/admet_ai_parity.csv</w:t>
      </w:r>
      <w:r>
        <w:t xml:space="preserve">; handle missing competitor values as explicit </w:t>
      </w:r>
      <w:proofErr w:type="spellStart"/>
      <w:proofErr w:type="gramStart"/>
      <w:r>
        <w:rPr>
          <w:rFonts w:ascii="Courier New" w:hAnsi="Courier New"/>
          <w:sz w:val="18"/>
          <w:shd w:val="clear" w:color="auto" w:fill="F2F1F0"/>
        </w:rPr>
        <w:t>NA</w:t>
      </w:r>
      <w:r>
        <w:t>.</w:t>
      </w:r>
      <w:r>
        <w:rPr>
          <w:b/>
        </w:rPr>
        <w:t>Tests</w:t>
      </w:r>
      <w:proofErr w:type="spellEnd"/>
      <w:proofErr w:type="gramEnd"/>
      <w:r>
        <w:rPr>
          <w:b/>
        </w:rPr>
        <w:t>:</w:t>
      </w:r>
      <w:r>
        <w:t xml:space="preserve"> integration test that the parity table is generated from the results store and does not silently drop </w:t>
      </w:r>
      <w:proofErr w:type="spellStart"/>
      <w:r>
        <w:rPr>
          <w:rFonts w:ascii="Courier New" w:hAnsi="Courier New"/>
          <w:sz w:val="18"/>
          <w:shd w:val="clear" w:color="auto" w:fill="F2F1F0"/>
        </w:rPr>
        <w:t>NA</w:t>
      </w:r>
      <w:r>
        <w:t>s.</w:t>
      </w:r>
      <w:r>
        <w:rPr>
          <w:b/>
        </w:rPr>
        <w:t>Verify</w:t>
      </w:r>
      <w:proofErr w:type="spellEnd"/>
      <w:r>
        <w:rPr>
          <w:b/>
        </w:rPr>
        <w:t>:</w:t>
      </w:r>
      <w:r>
        <w:t xml:space="preserve"> parity table exists; the ADMET-AI section is updated — if parity holds, the "perform comparably" claim is substantiated; if not, the claim is adjusted to match the data.</w:t>
      </w:r>
    </w:p>
    <w:p w14:paraId="5DC5B602" w14:textId="77777777" w:rsidR="00D51A26" w:rsidRDefault="009A6BC2">
      <w:pPr>
        <w:pStyle w:val="Heading3"/>
      </w:pPr>
      <w:r>
        <w:t>C6 [ENH] Uncertainty quantification / calibration</w:t>
      </w:r>
    </w:p>
    <w:p w14:paraId="04E44CE3" w14:textId="77777777" w:rsidR="00D51A26" w:rsidRDefault="009A6BC2">
      <w:r>
        <w:t xml:space="preserve">Add prediction intervals (regression) / calibrated probabilities (classification) via conformal prediction; emit reliability diagrams and coverage/ECE/Brier stats. Pairs naturally with C3's conformal </w:t>
      </w:r>
      <w:proofErr w:type="spellStart"/>
      <w:proofErr w:type="gramStart"/>
      <w:r>
        <w:t>option.</w:t>
      </w:r>
      <w:r>
        <w:rPr>
          <w:b/>
        </w:rPr>
        <w:t>Tests</w:t>
      </w:r>
      <w:proofErr w:type="spellEnd"/>
      <w:proofErr w:type="gramEnd"/>
      <w:r>
        <w:rPr>
          <w:b/>
        </w:rPr>
        <w:t>:</w:t>
      </w:r>
      <w:r>
        <w:t xml:space="preserve"> conformal coverage ≈ nominal (± tolerance) on synthetic data; calibration metric computed correctly on a toy </w:t>
      </w:r>
      <w:proofErr w:type="spellStart"/>
      <w:proofErr w:type="gramStart"/>
      <w:r>
        <w:t>set.</w:t>
      </w:r>
      <w:r>
        <w:rPr>
          <w:b/>
        </w:rPr>
        <w:t>Verify</w:t>
      </w:r>
      <w:proofErr w:type="spellEnd"/>
      <w:proofErr w:type="gramEnd"/>
      <w:r>
        <w:rPr>
          <w:b/>
        </w:rPr>
        <w:t>:</w:t>
      </w:r>
      <w:r>
        <w:t xml:space="preserve"> calibration outputs for the TDC subset; feeds M1 (OECD principle 4).</w:t>
      </w:r>
    </w:p>
    <w:p w14:paraId="456651FE" w14:textId="77777777" w:rsidR="00D51A26" w:rsidRDefault="009A6BC2">
      <w:pPr>
        <w:pStyle w:val="Heading3"/>
      </w:pPr>
      <w:r>
        <w:t>C7 [DIFF] QMRF/QPRF-style report export (OECD documentation)</w:t>
      </w:r>
    </w:p>
    <w:p w14:paraId="01645997" w14:textId="77777777" w:rsidR="00D51A26" w:rsidRDefault="009A6BC2">
      <w:r>
        <w:t>Add an exporter that, for a trained model, emits a structured report (Markdown/PDF/JSON) with the five OECD headings — endpoint, algorithm, applicability domain, goodness-of-fit/robustness/predictivity, mechanistic interpretation — populated from the run's own artifacts (metrics, split hashes, AD from C3, feature-importance from C10).</w:t>
      </w:r>
      <w:r>
        <w:rPr>
          <w:b/>
        </w:rPr>
        <w:t>Tests:</w:t>
      </w:r>
      <w:r>
        <w:t xml:space="preserve"> unit test that the exporter fills all five sections from a mock run and fails loudly if a section's inputs are </w:t>
      </w:r>
      <w:proofErr w:type="spellStart"/>
      <w:r>
        <w:t>missing.</w:t>
      </w:r>
      <w:r>
        <w:rPr>
          <w:b/>
        </w:rPr>
        <w:t>Verify</w:t>
      </w:r>
      <w:proofErr w:type="spellEnd"/>
      <w:r>
        <w:rPr>
          <w:b/>
        </w:rPr>
        <w:t>:</w:t>
      </w:r>
      <w:r>
        <w:t xml:space="preserve"> a sample report generated for one TDC model and referenced in M1.</w:t>
      </w:r>
    </w:p>
    <w:p w14:paraId="01CDA0F2" w14:textId="77777777" w:rsidR="00D51A26" w:rsidRDefault="009A6BC2">
      <w:pPr>
        <w:pStyle w:val="Heading3"/>
      </w:pPr>
      <w:r>
        <w:t>C8 [BLOCK] Reproducibility hardening + data deposit</w:t>
      </w:r>
    </w:p>
    <w:p w14:paraId="48A40209" w14:textId="77777777" w:rsidR="00D51A26" w:rsidRDefault="009A6BC2">
      <w:r>
        <w:t>Pin exact versions (</w:t>
      </w:r>
      <w:proofErr w:type="spellStart"/>
      <w:r>
        <w:t>RDKit</w:t>
      </w:r>
      <w:proofErr w:type="spellEnd"/>
      <w:r>
        <w:t xml:space="preserve">, scikit-learn, </w:t>
      </w:r>
      <w:proofErr w:type="spellStart"/>
      <w:r>
        <w:t>XGBoost</w:t>
      </w:r>
      <w:proofErr w:type="spellEnd"/>
      <w:r>
        <w:t>/</w:t>
      </w:r>
      <w:proofErr w:type="spellStart"/>
      <w:r>
        <w:t>LightGBM</w:t>
      </w:r>
      <w:proofErr w:type="spellEnd"/>
      <w:r>
        <w:t>/</w:t>
      </w:r>
      <w:proofErr w:type="spellStart"/>
      <w:r>
        <w:t>CatBoost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, DGL, </w:t>
      </w:r>
      <w:proofErr w:type="spellStart"/>
      <w:r>
        <w:t>Chemprop</w:t>
      </w:r>
      <w:proofErr w:type="spellEnd"/>
      <w:r>
        <w:t xml:space="preserve">, Uni-Mol) in </w:t>
      </w:r>
      <w:proofErr w:type="spellStart"/>
      <w:r>
        <w:rPr>
          <w:rFonts w:ascii="Courier New" w:hAnsi="Courier New"/>
          <w:sz w:val="18"/>
          <w:shd w:val="clear" w:color="auto" w:fill="F2F1F0"/>
        </w:rPr>
        <w:t>pyproject.toml</w:t>
      </w:r>
      <w:proofErr w:type="spellEnd"/>
      <w:r>
        <w:t>; emit an environment manifest (</w:t>
      </w:r>
      <w:r>
        <w:rPr>
          <w:rFonts w:ascii="Courier New" w:hAnsi="Courier New"/>
          <w:sz w:val="18"/>
          <w:shd w:val="clear" w:color="auto" w:fill="F2F1F0"/>
        </w:rPr>
        <w:t>pip freeze</w:t>
      </w:r>
      <w:r>
        <w:t xml:space="preserve"> + git commit + hardware) into every results directory; prepare a </w:t>
      </w:r>
      <w:proofErr w:type="spellStart"/>
      <w:r>
        <w:t>Zenodo</w:t>
      </w:r>
      <w:proofErr w:type="spellEnd"/>
      <w:r>
        <w:t xml:space="preserve"> deposit with per-molecule predictions, split hashes, and S1–S5 tables; mint the </w:t>
      </w:r>
      <w:proofErr w:type="spellStart"/>
      <w:r>
        <w:t>DOI.</w:t>
      </w:r>
      <w:r>
        <w:rPr>
          <w:b/>
        </w:rPr>
        <w:t>Tests</w:t>
      </w:r>
      <w:proofErr w:type="spellEnd"/>
      <w:r>
        <w:rPr>
          <w:b/>
        </w:rPr>
        <w:t>:</w:t>
      </w:r>
      <w:r>
        <w:t xml:space="preserve"> a run writes a manifest containing package versions and the git commit; split hashes stable across reruns with the same </w:t>
      </w:r>
      <w:proofErr w:type="spellStart"/>
      <w:r>
        <w:t>seed.</w:t>
      </w:r>
      <w:r>
        <w:rPr>
          <w:b/>
        </w:rPr>
        <w:t>Verify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Zenodo</w:t>
      </w:r>
      <w:proofErr w:type="spellEnd"/>
      <w:r>
        <w:t xml:space="preserve"> DOI minted; the </w:t>
      </w:r>
      <w:r>
        <w:rPr>
          <w:rFonts w:ascii="Courier New" w:hAnsi="Courier New"/>
          <w:sz w:val="18"/>
          <w:shd w:val="clear" w:color="auto" w:fill="F2F1F0"/>
        </w:rPr>
        <w:t>[AUTHOR]</w:t>
      </w:r>
      <w:r>
        <w:t xml:space="preserve"> placeholder in the </w:t>
      </w:r>
      <w:r>
        <w:rPr>
          <w:rFonts w:ascii="Courier New" w:hAnsi="Courier New"/>
          <w:sz w:val="18"/>
          <w:shd w:val="clear" w:color="auto" w:fill="F2F1F0"/>
        </w:rPr>
        <w:t>.</w:t>
      </w:r>
      <w:proofErr w:type="spellStart"/>
      <w:r>
        <w:rPr>
          <w:rFonts w:ascii="Courier New" w:hAnsi="Courier New"/>
          <w:sz w:val="18"/>
          <w:shd w:val="clear" w:color="auto" w:fill="F2F1F0"/>
        </w:rPr>
        <w:t>tex</w:t>
      </w:r>
      <w:proofErr w:type="spellEnd"/>
      <w:r>
        <w:t xml:space="preserve"> replaced with the real DOI (M3).</w:t>
      </w:r>
    </w:p>
    <w:p w14:paraId="56EEF95B" w14:textId="77777777" w:rsidR="00D51A26" w:rsidRDefault="009A6BC2">
      <w:pPr>
        <w:pStyle w:val="Heading3"/>
      </w:pPr>
      <w:r>
        <w:lastRenderedPageBreak/>
        <w:t>C9 [BLOCK] Rename completeness check (</w:t>
      </w:r>
      <w:proofErr w:type="spellStart"/>
      <w:r>
        <w:t>AutoQSAR</w:t>
      </w:r>
      <w:proofErr w:type="spellEnd"/>
      <w:r>
        <w:t xml:space="preserve"> → </w:t>
      </w:r>
      <w:proofErr w:type="spellStart"/>
      <w:r>
        <w:t>QSARena</w:t>
      </w:r>
      <w:proofErr w:type="spellEnd"/>
      <w:r>
        <w:t>)</w:t>
      </w:r>
    </w:p>
    <w:p w14:paraId="28E100BC" w14:textId="77777777" w:rsidR="00D51A26" w:rsidRDefault="009A6BC2">
      <w:r>
        <w:t xml:space="preserve">Grep the repo, docs, notebook, and </w:t>
      </w:r>
      <w:r>
        <w:rPr>
          <w:rFonts w:ascii="Courier New" w:hAnsi="Courier New"/>
          <w:sz w:val="18"/>
          <w:shd w:val="clear" w:color="auto" w:fill="F2F1F0"/>
        </w:rPr>
        <w:t>.</w:t>
      </w:r>
      <w:proofErr w:type="spellStart"/>
      <w:r>
        <w:rPr>
          <w:rFonts w:ascii="Courier New" w:hAnsi="Courier New"/>
          <w:sz w:val="18"/>
          <w:shd w:val="clear" w:color="auto" w:fill="F2F1F0"/>
        </w:rPr>
        <w:t>tex</w:t>
      </w:r>
      <w:proofErr w:type="spellEnd"/>
      <w:proofErr w:type="gramStart"/>
      <w:r>
        <w:t>/</w:t>
      </w:r>
      <w:r>
        <w:rPr>
          <w:rFonts w:ascii="Courier New" w:hAnsi="Courier New"/>
          <w:sz w:val="18"/>
          <w:shd w:val="clear" w:color="auto" w:fill="F2F1F0"/>
        </w:rPr>
        <w:t>.bib</w:t>
      </w:r>
      <w:proofErr w:type="gramEnd"/>
      <w:r>
        <w:t xml:space="preserve"> for </w:t>
      </w:r>
      <w:proofErr w:type="spellStart"/>
      <w:r>
        <w:rPr>
          <w:rFonts w:ascii="Courier New" w:hAnsi="Courier New"/>
          <w:sz w:val="18"/>
          <w:shd w:val="clear" w:color="auto" w:fill="F2F1F0"/>
        </w:rPr>
        <w:t>autoqsar</w:t>
      </w:r>
      <w:proofErr w:type="spellEnd"/>
      <w:r>
        <w:t>/</w:t>
      </w:r>
      <w:proofErr w:type="spellStart"/>
      <w:r>
        <w:rPr>
          <w:rFonts w:ascii="Courier New" w:hAnsi="Courier New"/>
          <w:sz w:val="18"/>
          <w:shd w:val="clear" w:color="auto" w:fill="F2F1F0"/>
        </w:rPr>
        <w:t>AutoQSAR</w:t>
      </w:r>
      <w:proofErr w:type="spellEnd"/>
      <w:r>
        <w:t xml:space="preserve"> (case-insensitive); confirm package name, imports, console scripts, notebook title, repo URLs, and CITATION file all read </w:t>
      </w:r>
      <w:proofErr w:type="spellStart"/>
      <w:r>
        <w:rPr>
          <w:rFonts w:ascii="Courier New" w:hAnsi="Courier New"/>
          <w:sz w:val="18"/>
          <w:shd w:val="clear" w:color="auto" w:fill="F2F1F0"/>
        </w:rPr>
        <w:t>qsarena</w:t>
      </w:r>
      <w:proofErr w:type="spellEnd"/>
      <w:r>
        <w:t xml:space="preserve">. Leave a single deliberate mention only where the paper cites Schrödinger's </w:t>
      </w:r>
      <w:proofErr w:type="spellStart"/>
      <w:r>
        <w:t>AutoQSAR</w:t>
      </w:r>
      <w:proofErr w:type="spellEnd"/>
      <w:r>
        <w:t xml:space="preserve"> as prior </w:t>
      </w:r>
      <w:proofErr w:type="spellStart"/>
      <w:proofErr w:type="gramStart"/>
      <w:r>
        <w:t>art.</w:t>
      </w:r>
      <w:r>
        <w:rPr>
          <w:b/>
        </w:rPr>
        <w:t>Tests</w:t>
      </w:r>
      <w:proofErr w:type="spellEnd"/>
      <w:proofErr w:type="gramEnd"/>
      <w:r>
        <w:rPr>
          <w:b/>
        </w:rPr>
        <w:t>:</w:t>
      </w:r>
      <w:r>
        <w:t xml:space="preserve"> repo-wide CI grep that fails if </w:t>
      </w:r>
      <w:proofErr w:type="spellStart"/>
      <w:r>
        <w:rPr>
          <w:rFonts w:ascii="Courier New" w:hAnsi="Courier New"/>
          <w:sz w:val="18"/>
          <w:shd w:val="clear" w:color="auto" w:fill="F2F1F0"/>
        </w:rPr>
        <w:t>autoqsar</w:t>
      </w:r>
      <w:proofErr w:type="spellEnd"/>
      <w:r>
        <w:t xml:space="preserve"> appears outside an allowlist (the Schrödinger citation</w:t>
      </w:r>
      <w:proofErr w:type="gramStart"/>
      <w:r>
        <w:t>).</w:t>
      </w:r>
      <w:r>
        <w:rPr>
          <w:b/>
        </w:rPr>
        <w:t>Verify</w:t>
      </w:r>
      <w:proofErr w:type="gramEnd"/>
      <w:r>
        <w:rPr>
          <w:b/>
        </w:rPr>
        <w:t>:</w:t>
      </w:r>
      <w:r>
        <w:t xml:space="preserve"> grep clean except the allowlisted citation.</w:t>
      </w:r>
    </w:p>
    <w:p w14:paraId="5AE5FC9E" w14:textId="77777777" w:rsidR="00D51A26" w:rsidRDefault="009A6BC2">
      <w:pPr>
        <w:pStyle w:val="Heading3"/>
      </w:pPr>
      <w:r>
        <w:t>C10 [ENH] Per-model interpretability (OECD principle 5)</w:t>
      </w:r>
    </w:p>
    <w:p w14:paraId="44192ED0" w14:textId="77777777" w:rsidR="00D51A26" w:rsidRDefault="009A6BC2">
      <w:r>
        <w:t xml:space="preserve">Add SHAP/permutation feature importance for the winning tabular/boosting models per dataset; export top features (mark GNN/3D models as "no per-feature attribution"). Feeds C7 and the manuscript mechanistic </w:t>
      </w:r>
      <w:proofErr w:type="spellStart"/>
      <w:proofErr w:type="gramStart"/>
      <w:r>
        <w:t>paragraph.</w:t>
      </w:r>
      <w:r>
        <w:rPr>
          <w:b/>
        </w:rPr>
        <w:t>Tests</w:t>
      </w:r>
      <w:proofErr w:type="spellEnd"/>
      <w:proofErr w:type="gramEnd"/>
      <w:r>
        <w:rPr>
          <w:b/>
        </w:rPr>
        <w:t>:</w:t>
      </w:r>
      <w:r>
        <w:t xml:space="preserve"> importance shapes/sums correct on a toy model; graceful skip for models without native </w:t>
      </w:r>
      <w:proofErr w:type="spellStart"/>
      <w:proofErr w:type="gramStart"/>
      <w:r>
        <w:t>importances.</w:t>
      </w:r>
      <w:r>
        <w:rPr>
          <w:b/>
        </w:rPr>
        <w:t>Verify</w:t>
      </w:r>
      <w:proofErr w:type="spellEnd"/>
      <w:proofErr w:type="gramEnd"/>
      <w:r>
        <w:rPr>
          <w:b/>
        </w:rPr>
        <w:t>:</w:t>
      </w:r>
      <w:r>
        <w:t xml:space="preserve"> importance outputs feed the QMRF exporter (C7) and M1.</w:t>
      </w:r>
    </w:p>
    <w:p w14:paraId="1525AD3E" w14:textId="77777777" w:rsidR="00D51A26" w:rsidRDefault="00D51A26">
      <w:pPr>
        <w:pBdr>
          <w:bottom w:val="single" w:sz="6" w:space="1" w:color="auto"/>
        </w:pBdr>
      </w:pPr>
    </w:p>
    <w:p w14:paraId="6173E888" w14:textId="77777777" w:rsidR="00D51A26" w:rsidRDefault="009A6BC2">
      <w:pPr>
        <w:pStyle w:val="Heading2"/>
      </w:pPr>
      <w:r>
        <w:t>PART B — MANUSCRIPT (</w:t>
      </w:r>
      <w:r>
        <w:rPr>
          <w:rFonts w:ascii="Courier New" w:hAnsi="Courier New"/>
          <w:sz w:val="18"/>
          <w:shd w:val="clear" w:color="auto" w:fill="F2F1F0"/>
        </w:rPr>
        <w:t>.</w:t>
      </w:r>
      <w:proofErr w:type="spellStart"/>
      <w:r>
        <w:rPr>
          <w:rFonts w:ascii="Courier New" w:hAnsi="Courier New"/>
          <w:sz w:val="18"/>
          <w:shd w:val="clear" w:color="auto" w:fill="F2F1F0"/>
        </w:rPr>
        <w:t>tex</w:t>
      </w:r>
      <w:proofErr w:type="spellEnd"/>
      <w:r>
        <w:t xml:space="preserve"> </w:t>
      </w:r>
      <w:proofErr w:type="gramStart"/>
      <w:r>
        <w:t xml:space="preserve">/ </w:t>
      </w:r>
      <w:r>
        <w:rPr>
          <w:rFonts w:ascii="Courier New" w:hAnsi="Courier New"/>
          <w:sz w:val="18"/>
          <w:shd w:val="clear" w:color="auto" w:fill="F2F1F0"/>
        </w:rPr>
        <w:t>.bib</w:t>
      </w:r>
      <w:proofErr w:type="gramEnd"/>
      <w:r>
        <w:t>) TASKS</w:t>
      </w:r>
    </w:p>
    <w:p w14:paraId="36AC8E69" w14:textId="77777777" w:rsidR="00D51A26" w:rsidRDefault="009A6BC2">
      <w:pPr>
        <w:pStyle w:val="Heading3"/>
      </w:pPr>
      <w:r>
        <w:t>M1 [DIFF] Add an "OECD (Q)SAR validation alignment" subsection</w:t>
      </w:r>
    </w:p>
    <w:p w14:paraId="14E0264B" w14:textId="77777777" w:rsidR="00D51A26" w:rsidRDefault="009A6BC2">
      <w:r>
        <w:rPr>
          <w:b/>
        </w:rPr>
        <w:t>Why:</w:t>
      </w:r>
      <w:r>
        <w:t xml:space="preserve"> the closest GUI competitor, </w:t>
      </w:r>
      <w:proofErr w:type="spellStart"/>
      <w:r>
        <w:t>MetaQSAR</w:t>
      </w:r>
      <w:proofErr w:type="spellEnd"/>
      <w:r>
        <w:t xml:space="preserve">, explicitly follows OECD good-modelling practice and ships AD; </w:t>
      </w:r>
      <w:proofErr w:type="spellStart"/>
      <w:r>
        <w:t>QSARena</w:t>
      </w:r>
      <w:proofErr w:type="spellEnd"/>
      <w:r>
        <w:t xml:space="preserve"> has no OECD framing despite a regulatory-toxicology audience. This becomes a differentiator once C3/C7 land. The OECD principles are a fixed five-item checklist: (1) a defined endpoint; (2) an unambiguous algorithm; (3) a defined domain of applicability; (4) appropriate measures of goodness-of-fit, robustness and predictivity; (5) a mechanistic interpretation, if possible. </w:t>
      </w:r>
      <w:hyperlink r:id="rId7">
        <w:r>
          <w:rPr>
            <w:b/>
            <w:color w:val="1F5132"/>
            <w:position w:val="7"/>
            <w:sz w:val="18"/>
            <w:szCs w:val="18"/>
          </w:rPr>
          <w:t>1</w:t>
        </w:r>
      </w:hyperlink>
      <w:r>
        <w:rPr>
          <w:b/>
        </w:rPr>
        <w:t>Do:</w:t>
      </w:r>
      <w:r>
        <w:t xml:space="preserve"> add a subsection mapping </w:t>
      </w:r>
      <w:proofErr w:type="spellStart"/>
      <w:r>
        <w:t>QSARena</w:t>
      </w:r>
      <w:proofErr w:type="spellEnd"/>
      <w:r>
        <w:t xml:space="preserve"> to all five and cite the OECD principles + the OECD (Q)SAR Assessment Framework. </w:t>
      </w:r>
      <w:r>
        <w:rPr>
          <w:b/>
        </w:rPr>
        <w:t>Ready-to-adapt text (fill bracketed numbers from C2/C3/C10):</w:t>
      </w:r>
    </w:p>
    <w:p w14:paraId="7629BE0B" w14:textId="77777777" w:rsidR="00D51A26" w:rsidRDefault="009A6BC2">
      <w:pPr>
        <w:pStyle w:val="Quote"/>
      </w:pPr>
      <w:r>
        <w:rPr>
          <w:i/>
        </w:rPr>
        <w:t xml:space="preserve">"Regulatory alignment with the OECD (Q)SAR principles. Because a common barrier to regulatory uptake is documentation rather than algorithmic novelty, we map </w:t>
      </w:r>
      <w:proofErr w:type="spellStart"/>
      <w:r>
        <w:rPr>
          <w:i/>
        </w:rPr>
        <w:t>QSARena</w:t>
      </w:r>
      <w:proofErr w:type="spellEnd"/>
      <w:r>
        <w:rPr>
          <w:i/>
        </w:rPr>
        <w:t xml:space="preserve"> to the five OECD principles for (Q)SAR validation. Principle 1 (defined endpoint) is satisfied by construction: each benchmark corresponds to a single, documented experimental endpoint. Principle 2 (unambiguous algorithm) is met by a fixed, open-source pipeline with cached, resumable artifacts and recorded split hashes, enabling exact reproduction. Principle 3 (defined applicability domain) is addressed by the workspace's applicability-domain utilities, which we exercise here: across the [N] TDC dat</w:t>
      </w:r>
      <w:r>
        <w:rPr>
          <w:i/>
        </w:rPr>
        <w:t xml:space="preserve">asets, test compounds flagged out-of-domain showed a [X]% higher error than in-domain compounds (Table/Fig [ref]). Principle 4 (goodness-of-fit, robustness, predictivity) is reported as internal cross-validated performance and external held-out metrics, now with mean ± standard deviation over five seeds on the TDC subset (Section [ref]). Principle 5 (mechanistic interpretation) is supported by feature-family enrichment (Fig 4) and per-model feature-importance for the selected models (Section [ref]). </w:t>
      </w:r>
      <w:proofErr w:type="spellStart"/>
      <w:r>
        <w:rPr>
          <w:i/>
        </w:rPr>
        <w:t>QSARena</w:t>
      </w:r>
      <w:proofErr w:type="spellEnd"/>
      <w:r>
        <w:rPr>
          <w:i/>
        </w:rPr>
        <w:t xml:space="preserve"> additionally exports QMRF/QPRF-style model reports populated from these artifacts."</w:t>
      </w:r>
    </w:p>
    <w:p w14:paraId="3A6CB20B" w14:textId="77777777" w:rsidR="00D51A26" w:rsidRDefault="009A6BC2">
      <w:r>
        <w:lastRenderedPageBreak/>
        <w:t xml:space="preserve">Also frame prediction assessment around the QAF's four checks: correct input, fit within the applicability domain, prediction reliability, and fitness for the identified purpose. </w:t>
      </w:r>
      <w:hyperlink r:id="rId8">
        <w:r>
          <w:rPr>
            <w:b/>
            <w:color w:val="1F5132"/>
            <w:position w:val="7"/>
            <w:sz w:val="18"/>
            <w:szCs w:val="18"/>
          </w:rPr>
          <w:t>2</w:t>
        </w:r>
      </w:hyperlink>
      <w:r>
        <w:t xml:space="preserve"> </w:t>
      </w:r>
      <w:r>
        <w:rPr>
          <w:b/>
        </w:rPr>
        <w:t>Gate:</w:t>
      </w:r>
      <w:r>
        <w:t xml:space="preserve"> do not state AD/multi-seed numbers until C2/C3 </w:t>
      </w:r>
      <w:proofErr w:type="gramStart"/>
      <w:r>
        <w:t>produce</w:t>
      </w:r>
      <w:proofErr w:type="gramEnd"/>
      <w:r>
        <w:t xml:space="preserve"> them.</w:t>
      </w:r>
    </w:p>
    <w:p w14:paraId="76F7282F" w14:textId="77777777" w:rsidR="00D51A26" w:rsidRDefault="009A6BC2">
      <w:pPr>
        <w:pStyle w:val="Heading3"/>
      </w:pPr>
      <w:r>
        <w:t xml:space="preserve">M2 [DIFF] Add </w:t>
      </w:r>
      <w:proofErr w:type="spellStart"/>
      <w:r>
        <w:t>MetaQSAR</w:t>
      </w:r>
      <w:proofErr w:type="spellEnd"/>
      <w:r>
        <w:t xml:space="preserve"> to related work and Table 7 (complementarity)</w:t>
      </w:r>
    </w:p>
    <w:p w14:paraId="02CD8B43" w14:textId="77777777" w:rsidR="00D51A26" w:rsidRDefault="009A6BC2">
      <w:r>
        <w:rPr>
          <w:b/>
        </w:rPr>
        <w:t>Why:</w:t>
      </w:r>
      <w:r>
        <w:t xml:space="preserve"> </w:t>
      </w:r>
      <w:proofErr w:type="spellStart"/>
      <w:r>
        <w:t>MetaQSAR</w:t>
      </w:r>
      <w:proofErr w:type="spellEnd"/>
      <w:r>
        <w:t xml:space="preserve"> is a close 2024 competitor a reviewer will raise; positioning it as complementary is stronger than </w:t>
      </w:r>
      <w:proofErr w:type="spellStart"/>
      <w:proofErr w:type="gramStart"/>
      <w:r>
        <w:t>omission.</w:t>
      </w:r>
      <w:r>
        <w:rPr>
          <w:b/>
        </w:rPr>
        <w:t>Do</w:t>
      </w:r>
      <w:proofErr w:type="spellEnd"/>
      <w:proofErr w:type="gramEnd"/>
      <w:r>
        <w:rPr>
          <w:b/>
        </w:rPr>
        <w:t>:</w:t>
      </w:r>
      <w:r>
        <w:t xml:space="preserve"> add one related-work sentence and a Table 7 row. </w:t>
      </w:r>
      <w:r>
        <w:rPr>
          <w:b/>
        </w:rPr>
        <w:t>Ready-to-adapt text:</w:t>
      </w:r>
    </w:p>
    <w:p w14:paraId="22644A4E" w14:textId="77777777" w:rsidR="00D51A26" w:rsidRDefault="009A6BC2">
      <w:pPr>
        <w:pStyle w:val="Quote"/>
      </w:pPr>
      <w:r>
        <w:rPr>
          <w:i/>
        </w:rPr>
        <w:t>"</w:t>
      </w:r>
      <w:proofErr w:type="spellStart"/>
      <w:r>
        <w:rPr>
          <w:i/>
        </w:rPr>
        <w:t>MetaQSAR</w:t>
      </w:r>
      <w:proofErr w:type="spellEnd"/>
      <w:r>
        <w:rPr>
          <w:i/>
        </w:rPr>
        <w:t xml:space="preserve"> provides a standalone graphical QSAR platform with fully automated and manual workflows, </w:t>
      </w:r>
      <w:proofErr w:type="spellStart"/>
      <w:r>
        <w:rPr>
          <w:i/>
        </w:rPr>
        <w:t>PaDEL</w:t>
      </w:r>
      <w:proofErr w:type="spellEnd"/>
      <w:r>
        <w:rPr>
          <w:i/>
        </w:rPr>
        <w:t xml:space="preserve"> descriptors, genetic-algorithm feature selection, integral applicability-domain assessment, and explicit OECD/ECHA alignment, validated through endpoint case studies rather than public leaderboards [</w:t>
      </w:r>
      <w:proofErr w:type="spellStart"/>
      <w:r>
        <w:rPr>
          <w:i/>
        </w:rPr>
        <w:t>MetaQSAR</w:t>
      </w:r>
      <w:proofErr w:type="spellEnd"/>
      <w:r>
        <w:rPr>
          <w:i/>
        </w:rPr>
        <w:t xml:space="preserve">]. </w:t>
      </w:r>
      <w:proofErr w:type="spellStart"/>
      <w:r>
        <w:rPr>
          <w:i/>
        </w:rPr>
        <w:t>QSARena</w:t>
      </w:r>
      <w:proofErr w:type="spellEnd"/>
      <w:r>
        <w:rPr>
          <w:i/>
        </w:rPr>
        <w:t xml:space="preserve"> is complementary: where </w:t>
      </w:r>
      <w:proofErr w:type="spellStart"/>
      <w:r>
        <w:rPr>
          <w:i/>
        </w:rPr>
        <w:t>MetaQSAR</w:t>
      </w:r>
      <w:proofErr w:type="spellEnd"/>
      <w:r>
        <w:rPr>
          <w:i/>
        </w:rPr>
        <w:t xml:space="preserve"> is GUI-first, classical-descriptor-based and case-study-validated, </w:t>
      </w:r>
      <w:proofErr w:type="spellStart"/>
      <w:r>
        <w:rPr>
          <w:i/>
        </w:rPr>
        <w:t>QSARena</w:t>
      </w:r>
      <w:proofErr w:type="spellEnd"/>
      <w:r>
        <w:rPr>
          <w:i/>
        </w:rPr>
        <w:t xml:space="preserve"> is programmatic and code-free-via-Colab, spans deep, 3D-pretrained and fusion arch</w:t>
      </w:r>
      <w:r>
        <w:rPr>
          <w:i/>
        </w:rPr>
        <w:t>itectures, and is evaluated uniformly across five public benchmark suites."</w:t>
      </w:r>
    </w:p>
    <w:p w14:paraId="7C835851" w14:textId="56494EC2" w:rsidR="00D51A26" w:rsidRDefault="009A6BC2">
      <w:r>
        <w:t>Table 7 row (</w:t>
      </w:r>
      <w:proofErr w:type="spellStart"/>
      <w:r>
        <w:t>MetaQSAR</w:t>
      </w:r>
      <w:proofErr w:type="spellEnd"/>
      <w:r>
        <w:t>): access = free (registration), standalone GUI (Java); code-free = yes; retrain = yes; architecture breadth = classical (MLR/PLS/NB/DT/</w:t>
      </w:r>
      <w:proofErr w:type="spellStart"/>
      <w:r>
        <w:t>XGBoost</w:t>
      </w:r>
      <w:proofErr w:type="spellEnd"/>
      <w:r>
        <w:t xml:space="preserve">); suites benchmarked = 0 (endpoint case studies); published TDC = —. Verified facts: standalone JAR requiring Java 8, no installation </w:t>
      </w:r>
      <w:hyperlink r:id="rId9" w:anchor="pages=10-12">
        <w:r>
          <w:rPr>
            <w:b/>
            <w:color w:val="1F5132"/>
            <w:position w:val="7"/>
            <w:sz w:val="18"/>
            <w:szCs w:val="18"/>
          </w:rPr>
          <w:t>3</w:t>
        </w:r>
      </w:hyperlink>
      <w:r>
        <w:t xml:space="preserve">; </w:t>
      </w:r>
      <w:proofErr w:type="spellStart"/>
      <w:r>
        <w:t>PaDEL</w:t>
      </w:r>
      <w:proofErr w:type="spellEnd"/>
      <w:r>
        <w:t xml:space="preserve"> descriptors </w:t>
      </w:r>
      <w:hyperlink r:id="rId10" w:anchor="pages=10-12">
        <w:r>
          <w:rPr>
            <w:b/>
            <w:color w:val="1F5132"/>
            <w:position w:val="7"/>
            <w:sz w:val="18"/>
            <w:szCs w:val="18"/>
          </w:rPr>
          <w:t>3</w:t>
        </w:r>
      </w:hyperlink>
      <w:r>
        <w:t xml:space="preserve">; two AD approaches (standardization + confidence estimation) </w:t>
      </w:r>
      <w:hyperlink r:id="rId11" w:anchor="pages=10-12">
        <w:r>
          <w:rPr>
            <w:b/>
            <w:color w:val="1F5132"/>
            <w:position w:val="7"/>
            <w:sz w:val="18"/>
            <w:szCs w:val="18"/>
          </w:rPr>
          <w:t>3</w:t>
        </w:r>
      </w:hyperlink>
      <w:r>
        <w:t xml:space="preserve">; follows OECD and ECHA good-practice guidance </w:t>
      </w:r>
      <w:hyperlink r:id="rId12" w:anchor="pages=10-12">
        <w:r>
          <w:rPr>
            <w:b/>
            <w:color w:val="1F5132"/>
            <w:position w:val="7"/>
            <w:sz w:val="18"/>
            <w:szCs w:val="18"/>
          </w:rPr>
          <w:t>3</w:t>
        </w:r>
      </w:hyperlink>
      <w:r>
        <w:t xml:space="preserve">; evidence is endpoint case studies compared to published QSAR models, not public leaderboards. </w:t>
      </w:r>
      <w:hyperlink r:id="rId13" w:anchor="pages=10-12">
        <w:r>
          <w:rPr>
            <w:b/>
            <w:color w:val="1F5132"/>
            <w:position w:val="7"/>
            <w:sz w:val="18"/>
            <w:szCs w:val="18"/>
          </w:rPr>
          <w:t>3</w:t>
        </w:r>
      </w:hyperlink>
    </w:p>
    <w:p w14:paraId="55E0254B" w14:textId="77777777" w:rsidR="00D51A26" w:rsidRDefault="009A6BC2">
      <w:pPr>
        <w:pStyle w:val="Heading3"/>
      </w:pPr>
      <w:r>
        <w:t>M3 [BLOCK] Reference</w:t>
      </w:r>
      <w:proofErr w:type="gramStart"/>
      <w:r>
        <w:t>/</w:t>
      </w:r>
      <w:r>
        <w:rPr>
          <w:rFonts w:ascii="Courier New" w:hAnsi="Courier New"/>
          <w:sz w:val="18"/>
          <w:shd w:val="clear" w:color="auto" w:fill="F2F1F0"/>
        </w:rPr>
        <w:t>.bib</w:t>
      </w:r>
      <w:proofErr w:type="gramEnd"/>
      <w:r>
        <w:t xml:space="preserve"> fixes and additions</w:t>
      </w:r>
    </w:p>
    <w:p w14:paraId="1303907B" w14:textId="1FA939CB" w:rsidR="00D51A26" w:rsidRDefault="009A6BC2">
      <w:pPr>
        <w:pStyle w:val="ListParagraph"/>
        <w:tabs>
          <w:tab w:val="left" w:pos="720"/>
        </w:tabs>
        <w:ind w:left="720" w:hanging="360"/>
      </w:pPr>
      <w:r>
        <w:t>1.</w:t>
      </w:r>
      <w:r>
        <w:tab/>
      </w:r>
      <w:r>
        <w:rPr>
          <w:b/>
        </w:rPr>
        <w:t xml:space="preserve">Fix garbled </w:t>
      </w:r>
      <w:proofErr w:type="spellStart"/>
      <w:r>
        <w:rPr>
          <w:b/>
        </w:rPr>
        <w:t>MaxQsaring</w:t>
      </w:r>
      <w:proofErr w:type="spellEnd"/>
      <w:r>
        <w:rPr>
          <w:b/>
        </w:rPr>
        <w:t xml:space="preserve"> authors in ref </w:t>
      </w:r>
      <w:r>
        <w:rPr>
          <w:b/>
          <w:color w:val="1F5132"/>
          <w:position w:val="7"/>
          <w:sz w:val="18"/>
          <w:szCs w:val="18"/>
        </w:rPr>
        <w:t>16</w:t>
      </w:r>
      <w:r>
        <w:rPr>
          <w:b/>
        </w:rPr>
        <w:t>.</w:t>
      </w:r>
      <w:r>
        <w:t xml:space="preserve"> Draft prints "</w:t>
      </w:r>
      <w:proofErr w:type="spellStart"/>
      <w:r>
        <w:t>Chaofeng</w:t>
      </w:r>
      <w:proofErr w:type="spellEnd"/>
      <w:r>
        <w:t xml:space="preserve"> Xu, Yang Xu, Zhen Hu, Xin Zhao, Wei Xie, Wei Chen." Correct to: </w:t>
      </w:r>
      <w:proofErr w:type="spellStart"/>
      <w:r>
        <w:t>Congying</w:t>
      </w:r>
      <w:proofErr w:type="spellEnd"/>
      <w:r>
        <w:t xml:space="preserve"> Xu, </w:t>
      </w:r>
      <w:proofErr w:type="spellStart"/>
      <w:r>
        <w:t>Youjun</w:t>
      </w:r>
      <w:proofErr w:type="spellEnd"/>
      <w:r>
        <w:t xml:space="preserve"> Xu, </w:t>
      </w:r>
      <w:proofErr w:type="spellStart"/>
      <w:r>
        <w:t>Ziang</w:t>
      </w:r>
      <w:proofErr w:type="spellEnd"/>
      <w:r>
        <w:t xml:space="preserve"> Hu, Xinyi Zhao, Weixin Xie, </w:t>
      </w:r>
      <w:proofErr w:type="spellStart"/>
      <w:r>
        <w:t>Weiren</w:t>
      </w:r>
      <w:proofErr w:type="spellEnd"/>
      <w:r>
        <w:t xml:space="preserve"> Chen, Jianfeng Pei. </w:t>
      </w:r>
      <w:hyperlink r:id="rId14" w:anchor="pages=1-2">
        <w:r>
          <w:rPr>
            <w:b/>
            <w:color w:val="1F5132"/>
            <w:position w:val="7"/>
            <w:sz w:val="18"/>
            <w:szCs w:val="18"/>
          </w:rPr>
          <w:t>4</w:t>
        </w:r>
      </w:hyperlink>
      <w:r>
        <w:t xml:space="preserve"> Keep venue/DOI (already correct: J. Pharm. Anal. 2025;15(12):101411).</w:t>
      </w:r>
    </w:p>
    <w:p w14:paraId="0ACA772F" w14:textId="7D5D6C5A" w:rsidR="00D51A26" w:rsidRDefault="009A6BC2">
      <w:pPr>
        <w:pStyle w:val="ListParagraph"/>
        <w:tabs>
          <w:tab w:val="left" w:pos="720"/>
        </w:tabs>
        <w:ind w:left="720" w:hanging="360"/>
      </w:pPr>
      <w:r>
        <w:t>2.</w:t>
      </w:r>
      <w:r>
        <w:tab/>
      </w:r>
      <w:r>
        <w:rPr>
          <w:b/>
        </w:rPr>
        <w:t xml:space="preserve">Add </w:t>
      </w:r>
      <w:proofErr w:type="spellStart"/>
      <w:r>
        <w:rPr>
          <w:b/>
        </w:rPr>
        <w:t>MetaQSAR</w:t>
      </w:r>
      <w:proofErr w:type="spellEnd"/>
      <w:r>
        <w:rPr>
          <w:b/>
        </w:rPr>
        <w:t>.</w:t>
      </w:r>
      <w:r>
        <w:t xml:space="preserve"> Confirmed: "</w:t>
      </w:r>
      <w:proofErr w:type="spellStart"/>
      <w:r>
        <w:t>MetaQSAR</w:t>
      </w:r>
      <w:proofErr w:type="spellEnd"/>
      <w:r>
        <w:t xml:space="preserve">: A comprehensive tool for automated QSAR modeling," Chapter 33, in </w:t>
      </w:r>
      <w:r>
        <w:rPr>
          <w:i/>
        </w:rPr>
        <w:t>Cheminformatic Modeling and Data Gap Filling for a Green and Sustainable Environment</w:t>
      </w:r>
      <w:r>
        <w:t xml:space="preserve"> (p. 993 ff.). </w:t>
      </w:r>
      <w:hyperlink r:id="rId15" w:anchor="pages=10-12">
        <w:r>
          <w:rPr>
            <w:b/>
            <w:color w:val="1F5132"/>
            <w:position w:val="7"/>
            <w:sz w:val="18"/>
            <w:szCs w:val="18"/>
          </w:rPr>
          <w:t>3</w:t>
        </w:r>
      </w:hyperlink>
      <w:r>
        <w:t xml:space="preserve"> </w:t>
      </w:r>
      <w:r>
        <w:rPr>
          <w:b/>
        </w:rPr>
        <w:t>Agent must look up and fill the author list, editors, publisher, year, page range, and DOI</w:t>
      </w:r>
      <w:r>
        <w:t xml:space="preserve"> (not extractable from the proof) before citing; do not invent them.</w:t>
      </w:r>
    </w:p>
    <w:p w14:paraId="144AF7E8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3.</w:t>
      </w:r>
      <w:r>
        <w:tab/>
      </w:r>
      <w:r>
        <w:rPr>
          <w:b/>
        </w:rPr>
        <w:t xml:space="preserve">Verify/expand Uni-Mol citation </w:t>
      </w:r>
      <w:r>
        <w:rPr>
          <w:b/>
          <w:color w:val="1F5132"/>
          <w:position w:val="7"/>
          <w:sz w:val="18"/>
          <w:szCs w:val="18"/>
        </w:rPr>
        <w:t>10</w:t>
      </w:r>
      <w:r>
        <w:rPr>
          <w:b/>
        </w:rPr>
        <w:t>.</w:t>
      </w:r>
      <w:r>
        <w:t xml:space="preserve"> Draft cites "Uni-Mol V1 and V2 </w:t>
      </w:r>
      <w:r>
        <w:rPr>
          <w:b/>
          <w:color w:val="1F5132"/>
          <w:position w:val="7"/>
          <w:sz w:val="18"/>
          <w:szCs w:val="18"/>
        </w:rPr>
        <w:t>10</w:t>
      </w:r>
      <w:r>
        <w:t xml:space="preserve">" as one reference. Confirm </w:t>
      </w:r>
      <w:r>
        <w:rPr>
          <w:b/>
          <w:color w:val="1F5132"/>
          <w:position w:val="7"/>
          <w:sz w:val="18"/>
          <w:szCs w:val="18"/>
        </w:rPr>
        <w:t>10</w:t>
      </w:r>
      <w:r>
        <w:t xml:space="preserve"> = Zhou et al. (Uni-Mol, ICLR 2023); if it does not also cover Uni-Mol2, add: Ji X, Wang Z, Gao Z, Zheng H, Zhang L, Ke G, E W. Uni-Mol2: Exploring Molecular Pretraining Model at Scale. </w:t>
      </w:r>
      <w:proofErr w:type="spellStart"/>
      <w:r>
        <w:t>NeurIPS</w:t>
      </w:r>
      <w:proofErr w:type="spellEnd"/>
      <w:r>
        <w:t xml:space="preserve"> 2024. arXiv:2406.14969. </w:t>
      </w:r>
      <w:hyperlink r:id="rId16">
        <w:r>
          <w:rPr>
            <w:b/>
            <w:color w:val="1F5132"/>
            <w:position w:val="7"/>
            <w:sz w:val="18"/>
            <w:szCs w:val="18"/>
          </w:rPr>
          <w:t>5</w:t>
        </w:r>
      </w:hyperlink>
    </w:p>
    <w:p w14:paraId="1B152ABE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4.</w:t>
      </w:r>
      <w:r>
        <w:tab/>
      </w:r>
      <w:r>
        <w:rPr>
          <w:b/>
        </w:rPr>
        <w:t xml:space="preserve">Verify </w:t>
      </w:r>
      <w:proofErr w:type="spellStart"/>
      <w:r>
        <w:rPr>
          <w:b/>
        </w:rPr>
        <w:t>Chemprop</w:t>
      </w:r>
      <w:proofErr w:type="spellEnd"/>
      <w:r>
        <w:rPr>
          <w:b/>
        </w:rPr>
        <w:t xml:space="preserve"> citation </w:t>
      </w:r>
      <w:r>
        <w:rPr>
          <w:b/>
          <w:color w:val="1F5132"/>
          <w:position w:val="7"/>
          <w:sz w:val="18"/>
          <w:szCs w:val="18"/>
        </w:rPr>
        <w:t>42</w:t>
      </w:r>
      <w:r>
        <w:rPr>
          <w:b/>
        </w:rPr>
        <w:t>.</w:t>
      </w:r>
      <w:r>
        <w:t xml:space="preserve"> Draft </w:t>
      </w:r>
      <w:r>
        <w:rPr>
          <w:b/>
          <w:color w:val="1F5132"/>
          <w:position w:val="7"/>
          <w:sz w:val="18"/>
          <w:szCs w:val="18"/>
        </w:rPr>
        <w:t>42</w:t>
      </w:r>
      <w:r>
        <w:t xml:space="preserve"> = Yang et al. 2019 (D-MPNN origin). Since the tool runs </w:t>
      </w:r>
      <w:proofErr w:type="spellStart"/>
      <w:r>
        <w:t>Chemprop</w:t>
      </w:r>
      <w:proofErr w:type="spellEnd"/>
      <w:r>
        <w:t xml:space="preserve"> v2, add: Graff DE, et al. </w:t>
      </w:r>
      <w:proofErr w:type="spellStart"/>
      <w:r>
        <w:t>Chemprop</w:t>
      </w:r>
      <w:proofErr w:type="spellEnd"/>
      <w:r>
        <w:t xml:space="preserve"> v2: An Efficient, Modular Machine Learning Package for Chemical Property Prediction. J. Chem. Inf. Model. 2026;66(1):28–33. </w:t>
      </w:r>
      <w:proofErr w:type="gramStart"/>
      <w:r>
        <w:t>doi:10.1021/acs.jcim</w:t>
      </w:r>
      <w:proofErr w:type="gramEnd"/>
      <w:r>
        <w:t xml:space="preserve">.5c02332, </w:t>
      </w:r>
      <w:hyperlink r:id="rId17">
        <w:r>
          <w:rPr>
            <w:b/>
            <w:color w:val="1F5132"/>
            <w:position w:val="7"/>
            <w:sz w:val="18"/>
            <w:szCs w:val="18"/>
          </w:rPr>
          <w:t>6</w:t>
        </w:r>
      </w:hyperlink>
      <w:r>
        <w:t xml:space="preserve"> optionally with Heid E, et al. </w:t>
      </w:r>
      <w:proofErr w:type="spellStart"/>
      <w:r>
        <w:t>Chemprop</w:t>
      </w:r>
      <w:proofErr w:type="spellEnd"/>
      <w:r>
        <w:t xml:space="preserve">: A Machine </w:t>
      </w:r>
      <w:r>
        <w:lastRenderedPageBreak/>
        <w:t xml:space="preserve">Learning Package for Chemical Property Prediction. J. Chem. Inf. Model. 2024;64(1):9–17. </w:t>
      </w:r>
      <w:proofErr w:type="gramStart"/>
      <w:r>
        <w:t>doi:10.1021/acs.jcim</w:t>
      </w:r>
      <w:proofErr w:type="gramEnd"/>
      <w:r>
        <w:t xml:space="preserve">.3c01250. </w:t>
      </w:r>
      <w:hyperlink r:id="rId18">
        <w:r>
          <w:rPr>
            <w:b/>
            <w:color w:val="1F5132"/>
            <w:position w:val="7"/>
            <w:sz w:val="18"/>
            <w:szCs w:val="18"/>
          </w:rPr>
          <w:t>7</w:t>
        </w:r>
      </w:hyperlink>
    </w:p>
    <w:p w14:paraId="16157BFD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5.</w:t>
      </w:r>
      <w:r>
        <w:tab/>
      </w:r>
      <w:r>
        <w:rPr>
          <w:b/>
        </w:rPr>
        <w:t>Confirm Hsu CFA chapter DOI.</w:t>
      </w:r>
      <w:r>
        <w:t xml:space="preserve"> Pagination pp. 32–62 is correct; ensure DOI </w:t>
      </w:r>
      <w:r>
        <w:rPr>
          <w:rFonts w:ascii="Courier New" w:hAnsi="Courier New"/>
          <w:sz w:val="18"/>
          <w:shd w:val="clear" w:color="auto" w:fill="F2F1F0"/>
        </w:rPr>
        <w:t>10.4018/978-1-59140-863-5.ch003</w:t>
      </w:r>
      <w:r>
        <w:t xml:space="preserve"> is present and any </w:t>
      </w:r>
      <w:r>
        <w:rPr>
          <w:rFonts w:ascii="Courier New" w:hAnsi="Courier New"/>
          <w:sz w:val="18"/>
          <w:shd w:val="clear" w:color="auto" w:fill="F2F1F0"/>
        </w:rPr>
        <w:t>[VERIFY]</w:t>
      </w:r>
      <w:r>
        <w:t xml:space="preserve"> removed.</w:t>
      </w:r>
    </w:p>
    <w:p w14:paraId="51425EE4" w14:textId="598040F9" w:rsidR="00D51A26" w:rsidRDefault="009A6BC2">
      <w:pPr>
        <w:pStyle w:val="ListParagraph"/>
        <w:tabs>
          <w:tab w:val="left" w:pos="720"/>
        </w:tabs>
        <w:ind w:left="720" w:hanging="360"/>
      </w:pPr>
      <w:r>
        <w:t>6.</w:t>
      </w:r>
      <w:r>
        <w:tab/>
      </w:r>
      <w:r>
        <w:rPr>
          <w:b/>
        </w:rPr>
        <w:t xml:space="preserve">Fill the </w:t>
      </w:r>
      <w:proofErr w:type="spellStart"/>
      <w:r>
        <w:rPr>
          <w:b/>
        </w:rPr>
        <w:t>Zenodo</w:t>
      </w:r>
      <w:proofErr w:type="spellEnd"/>
      <w:r>
        <w:rPr>
          <w:b/>
        </w:rPr>
        <w:t xml:space="preserve"> DOI.</w:t>
      </w:r>
      <w:r>
        <w:t xml:space="preserve"> Replace the </w:t>
      </w:r>
      <w:r>
        <w:rPr>
          <w:rFonts w:ascii="Courier New" w:hAnsi="Courier New"/>
          <w:sz w:val="18"/>
          <w:shd w:val="clear" w:color="auto" w:fill="F2F1F0"/>
        </w:rPr>
        <w:t>[AUTHOR]</w:t>
      </w:r>
      <w:r>
        <w:t xml:space="preserve"> placeholder that reads "A versioned release archived on </w:t>
      </w:r>
      <w:proofErr w:type="spellStart"/>
      <w:r>
        <w:t>Zenodo</w:t>
      </w:r>
      <w:proofErr w:type="spellEnd"/>
      <w:r>
        <w:t xml:space="preserve"> … will be deposited before publication and its DOI cited here" </w:t>
      </w:r>
      <w:hyperlink r:id="rId19" w:anchor="pages=39-40">
        <w:r>
          <w:rPr>
            <w:b/>
            <w:color w:val="1F5132"/>
            <w:position w:val="7"/>
            <w:sz w:val="18"/>
            <w:szCs w:val="18"/>
          </w:rPr>
          <w:t>8</w:t>
        </w:r>
      </w:hyperlink>
      <w:r>
        <w:t xml:space="preserve"> with the real DOI from C8.</w:t>
      </w:r>
    </w:p>
    <w:p w14:paraId="7A3F43B1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7.</w:t>
      </w:r>
      <w:r>
        <w:tab/>
      </w:r>
      <w:proofErr w:type="gramStart"/>
      <w:r>
        <w:rPr>
          <w:b/>
        </w:rPr>
        <w:t xml:space="preserve">Final </w:t>
      </w:r>
      <w:r>
        <w:rPr>
          <w:rFonts w:ascii="Courier New" w:hAnsi="Courier New"/>
          <w:b/>
          <w:sz w:val="18"/>
          <w:shd w:val="clear" w:color="auto" w:fill="F2F1F0"/>
        </w:rPr>
        <w:t>.bib</w:t>
      </w:r>
      <w:proofErr w:type="gramEnd"/>
      <w:r>
        <w:rPr>
          <w:b/>
        </w:rPr>
        <w:t xml:space="preserve"> sweep:</w:t>
      </w:r>
      <w:r>
        <w:t xml:space="preserve"> </w:t>
      </w:r>
      <w:proofErr w:type="spellStart"/>
      <w:r>
        <w:rPr>
          <w:rFonts w:ascii="Courier New" w:hAnsi="Courier New"/>
          <w:sz w:val="18"/>
          <w:shd w:val="clear" w:color="auto" w:fill="F2F1F0"/>
        </w:rPr>
        <w:t>latexmk</w:t>
      </w:r>
      <w:proofErr w:type="spellEnd"/>
      <w:r>
        <w:t xml:space="preserve"> compiles with zero undefined citations and no residual </w:t>
      </w:r>
      <w:r>
        <w:rPr>
          <w:rFonts w:ascii="Courier New" w:hAnsi="Courier New"/>
          <w:sz w:val="18"/>
          <w:shd w:val="clear" w:color="auto" w:fill="F2F1F0"/>
        </w:rPr>
        <w:t>[</w:t>
      </w:r>
      <w:proofErr w:type="gramStart"/>
      <w:r>
        <w:rPr>
          <w:rFonts w:ascii="Courier New" w:hAnsi="Courier New"/>
          <w:sz w:val="18"/>
          <w:shd w:val="clear" w:color="auto" w:fill="F2F1F0"/>
        </w:rPr>
        <w:t>VERIFY]</w:t>
      </w:r>
      <w:r>
        <w:t>/</w:t>
      </w:r>
      <w:r>
        <w:rPr>
          <w:rFonts w:ascii="Courier New" w:hAnsi="Courier New"/>
          <w:sz w:val="18"/>
          <w:shd w:val="clear" w:color="auto" w:fill="F2F1F0"/>
        </w:rPr>
        <w:t>[AUTHOR</w:t>
      </w:r>
      <w:proofErr w:type="gramEnd"/>
      <w:r>
        <w:rPr>
          <w:rFonts w:ascii="Courier New" w:hAnsi="Courier New"/>
          <w:sz w:val="18"/>
          <w:shd w:val="clear" w:color="auto" w:fill="F2F1F0"/>
        </w:rPr>
        <w:t>]</w:t>
      </w:r>
      <w:r>
        <w:t xml:space="preserve"> tokens.</w:t>
      </w:r>
    </w:p>
    <w:p w14:paraId="6814C899" w14:textId="77777777" w:rsidR="00D51A26" w:rsidRDefault="009A6BC2">
      <w:pPr>
        <w:pStyle w:val="Heading3"/>
      </w:pPr>
      <w:r>
        <w:t>M4 [BLOCK] Propagate results into the narrative</w:t>
      </w:r>
    </w:p>
    <w:p w14:paraId="0060739F" w14:textId="77777777" w:rsidR="00D51A26" w:rsidRDefault="009A6BC2">
      <w:r>
        <w:t xml:space="preserve">Pull numbers from the regenerated artifacts — including the </w:t>
      </w:r>
      <w:r>
        <w:rPr>
          <w:b/>
        </w:rPr>
        <w:t>team-owned</w:t>
      </w:r>
      <w:r>
        <w:t xml:space="preserve"> </w:t>
      </w:r>
      <w:proofErr w:type="spellStart"/>
      <w:r>
        <w:t>Chemprop</w:t>
      </w:r>
      <w:proofErr w:type="spellEnd"/>
      <w:r>
        <w:t xml:space="preserve"> and ensemble fixes — do not hand-edit:</w:t>
      </w:r>
    </w:p>
    <w:p w14:paraId="0F404CAB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</w:r>
      <w:r>
        <w:rPr>
          <w:b/>
        </w:rPr>
        <w:t>Abstract &amp; §3.9:</w:t>
      </w:r>
      <w:r>
        <w:t xml:space="preserve"> update </w:t>
      </w:r>
      <w:proofErr w:type="spellStart"/>
      <w:r>
        <w:t>Chemprop</w:t>
      </w:r>
      <w:proofErr w:type="spellEnd"/>
      <w:r>
        <w:t xml:space="preserve"> coverage from "6 of 44" to the team's new figure; soften/remove "graph networks are under-represented" if the team's fix resolves it.</w:t>
      </w:r>
    </w:p>
    <w:p w14:paraId="30C9EE8D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</w:r>
      <w:r>
        <w:rPr>
          <w:b/>
        </w:rPr>
        <w:t>§4 Limitations:</w:t>
      </w:r>
      <w:r>
        <w:t xml:space="preserve"> replace/attenuate the single-seed statement with the C2 multi-seed TDC results; keep the honest caveat for datasets that remain single-seed.</w:t>
      </w:r>
    </w:p>
    <w:p w14:paraId="4DD1626E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</w:r>
      <w:r>
        <w:rPr>
          <w:b/>
        </w:rPr>
        <w:t>§3.3/§3.5, Fig 2, Table 3:</w:t>
      </w:r>
      <w:r>
        <w:t xml:space="preserve"> regenerate from the team's leakage-free ensemble output; keep the "not a like-for-like competitor" caveat but re-word to reflect the corrected configuration.</w:t>
      </w:r>
    </w:p>
    <w:p w14:paraId="74BA05C0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</w:r>
      <w:r>
        <w:rPr>
          <w:b/>
        </w:rPr>
        <w:t>ADMET-AI section:</w:t>
      </w:r>
      <w:r>
        <w:t xml:space="preserve"> replace "parity … untested" with the C5 head-to-head result; adjust the title claim if the data don't support "perform comparably."</w:t>
      </w:r>
    </w:p>
    <w:p w14:paraId="1F7B9741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</w:r>
      <w:r>
        <w:rPr>
          <w:b/>
        </w:rPr>
        <w:t>AD/OECD/UQ:</w:t>
      </w:r>
      <w:r>
        <w:t xml:space="preserve"> insert the C3/C6/C7/C10 outputs into M1.</w:t>
      </w:r>
    </w:p>
    <w:p w14:paraId="63665FDE" w14:textId="406DD9DF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  <w:t xml:space="preserve">Recompute the 837 valid model–dataset evaluations </w:t>
      </w:r>
      <w:hyperlink r:id="rId20" w:anchor="pages=39-40">
        <w:r>
          <w:rPr>
            <w:b/>
            <w:color w:val="1F5132"/>
            <w:position w:val="7"/>
            <w:sz w:val="18"/>
            <w:szCs w:val="18"/>
          </w:rPr>
          <w:t>8</w:t>
        </w:r>
      </w:hyperlink>
      <w:r>
        <w:t xml:space="preserve"> figure if the </w:t>
      </w:r>
      <w:proofErr w:type="spellStart"/>
      <w:r>
        <w:t>Chemprop</w:t>
      </w:r>
      <w:proofErr w:type="spellEnd"/>
      <w:r>
        <w:t>/ensemble changes alter coverage.</w:t>
      </w:r>
    </w:p>
    <w:p w14:paraId="6978BDE2" w14:textId="77777777" w:rsidR="00D51A26" w:rsidRDefault="009A6BC2">
      <w:pPr>
        <w:pStyle w:val="Heading3"/>
      </w:pPr>
      <w:r>
        <w:t>M5 [BLOCK] Submission hygiene</w:t>
      </w:r>
    </w:p>
    <w:p w14:paraId="58197911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  <w:t>Remove the "PROOF BUILD – not the submission file" banner.</w:t>
      </w:r>
    </w:p>
    <w:p w14:paraId="64466594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  <w:t xml:space="preserve">Ensure </w:t>
      </w:r>
      <w:r>
        <w:rPr>
          <w:i/>
        </w:rPr>
        <w:t xml:space="preserve">J. </w:t>
      </w:r>
      <w:proofErr w:type="spellStart"/>
      <w:r>
        <w:rPr>
          <w:i/>
        </w:rPr>
        <w:t>Cheminform</w:t>
      </w:r>
      <w:proofErr w:type="spellEnd"/>
      <w:r>
        <w:rPr>
          <w:i/>
        </w:rPr>
        <w:t>.</w:t>
      </w:r>
      <w:r>
        <w:t xml:space="preserve"> front matter: abstract (verify complete) + keywords + declarations (</w:t>
      </w:r>
      <w:r>
        <w:rPr>
          <w:b/>
        </w:rPr>
        <w:t>Competing interests</w:t>
      </w:r>
      <w:r>
        <w:t xml:space="preserve"> — important for a single-author self-benchmark, </w:t>
      </w:r>
      <w:proofErr w:type="gramStart"/>
      <w:r>
        <w:rPr>
          <w:b/>
        </w:rPr>
        <w:t>Funding</w:t>
      </w:r>
      <w:proofErr w:type="gramEnd"/>
      <w:r>
        <w:t xml:space="preserve">, </w:t>
      </w:r>
      <w:r>
        <w:rPr>
          <w:b/>
        </w:rPr>
        <w:t>Authors' contributions</w:t>
      </w:r>
      <w:r>
        <w:t xml:space="preserve">, </w:t>
      </w:r>
      <w:r>
        <w:rPr>
          <w:b/>
        </w:rPr>
        <w:t>Availability of data and materials</w:t>
      </w:r>
      <w:r>
        <w:t xml:space="preserve"> with the C8 DOI, </w:t>
      </w:r>
      <w:r>
        <w:rPr>
          <w:b/>
        </w:rPr>
        <w:t>Ethics</w:t>
      </w:r>
      <w:r>
        <w:t xml:space="preserve"> N/A statement).</w:t>
      </w:r>
    </w:p>
    <w:p w14:paraId="7BB3C7E3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  <w:t>Confirm the title number (44) is consistent across title, abstract and body.</w:t>
      </w:r>
    </w:p>
    <w:p w14:paraId="3B084999" w14:textId="77777777" w:rsidR="00D51A26" w:rsidRDefault="00D51A26">
      <w:pPr>
        <w:pBdr>
          <w:bottom w:val="single" w:sz="6" w:space="1" w:color="auto"/>
        </w:pBdr>
      </w:pPr>
    </w:p>
    <w:p w14:paraId="47FC4F6B" w14:textId="77777777" w:rsidR="00D51A26" w:rsidRDefault="009A6BC2">
      <w:pPr>
        <w:pStyle w:val="Heading2"/>
      </w:pPr>
      <w:r>
        <w:t>PART C — Execution order &amp; final verification</w:t>
      </w:r>
    </w:p>
    <w:p w14:paraId="357F97BC" w14:textId="77777777" w:rsidR="00D51A26" w:rsidRDefault="009A6BC2">
      <w:r>
        <w:rPr>
          <w:b/>
        </w:rPr>
        <w:t>Recommended order:</w:t>
      </w:r>
      <w:r>
        <w:t xml:space="preserve"> C9 → C8 → C2, C3 (parallel) → </w:t>
      </w:r>
      <w:r>
        <w:rPr>
          <w:b/>
        </w:rPr>
        <w:t>[await team: C1, C4]</w:t>
      </w:r>
      <w:r>
        <w:t xml:space="preserve"> → C5 → C10 → C6 → C7, then M3 → M1/M2 → M4 → M5.</w:t>
      </w:r>
    </w:p>
    <w:p w14:paraId="7AECD54B" w14:textId="77777777" w:rsidR="00D51A26" w:rsidRDefault="009A6BC2">
      <w:r>
        <w:rPr>
          <w:b/>
        </w:rPr>
        <w:t>Final acceptance checklist:</w:t>
      </w:r>
    </w:p>
    <w:p w14:paraId="6ABFA1D1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lastRenderedPageBreak/>
        <w:t>•</w:t>
      </w:r>
      <w:r>
        <w:tab/>
      </w:r>
      <w:proofErr w:type="gramStart"/>
      <w:r>
        <w:t>[ ]</w:t>
      </w:r>
      <w:proofErr w:type="gramEnd"/>
      <w:r>
        <w:t xml:space="preserve"> </w:t>
      </w:r>
      <w:proofErr w:type="spellStart"/>
      <w:r>
        <w:rPr>
          <w:rFonts w:ascii="Courier New" w:hAnsi="Courier New"/>
          <w:sz w:val="18"/>
          <w:shd w:val="clear" w:color="auto" w:fill="F2F1F0"/>
        </w:rPr>
        <w:t>pytest</w:t>
      </w:r>
      <w:proofErr w:type="spellEnd"/>
      <w:r>
        <w:rPr>
          <w:rFonts w:ascii="Courier New" w:hAnsi="Courier New"/>
          <w:sz w:val="18"/>
          <w:shd w:val="clear" w:color="auto" w:fill="F2F1F0"/>
        </w:rPr>
        <w:t xml:space="preserve"> -q</w:t>
      </w:r>
      <w:r>
        <w:t xml:space="preserve"> green incl. new tests for C2, C3, C5–C10; CI green (lint + LaTeX build, zero undefined refs).</w:t>
      </w:r>
    </w:p>
    <w:p w14:paraId="54AFCDA1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</w:r>
      <w:proofErr w:type="gramStart"/>
      <w:r>
        <w:t>[ ]</w:t>
      </w:r>
      <w:proofErr w:type="gramEnd"/>
      <w:r>
        <w:t xml:space="preserve"> </w:t>
      </w:r>
      <w:r>
        <w:rPr>
          <w:b/>
        </w:rPr>
        <w:t>[team]</w:t>
      </w:r>
      <w:r>
        <w:t xml:space="preserve"> </w:t>
      </w:r>
      <w:proofErr w:type="spellStart"/>
      <w:r>
        <w:t>Chemprop</w:t>
      </w:r>
      <w:proofErr w:type="spellEnd"/>
      <w:r>
        <w:t xml:space="preserve"> coverage restored; the agent has propagated the new counts into the </w:t>
      </w:r>
      <w:r>
        <w:rPr>
          <w:rFonts w:ascii="Courier New" w:hAnsi="Courier New"/>
          <w:sz w:val="18"/>
          <w:shd w:val="clear" w:color="auto" w:fill="F2F1F0"/>
        </w:rPr>
        <w:t>.</w:t>
      </w:r>
      <w:proofErr w:type="spellStart"/>
      <w:r>
        <w:rPr>
          <w:rFonts w:ascii="Courier New" w:hAnsi="Courier New"/>
          <w:sz w:val="18"/>
          <w:shd w:val="clear" w:color="auto" w:fill="F2F1F0"/>
        </w:rPr>
        <w:t>tex</w:t>
      </w:r>
      <w:proofErr w:type="spellEnd"/>
      <w:r>
        <w:t xml:space="preserve"> from the results artifact (not by hand) (C1→M4).</w:t>
      </w:r>
    </w:p>
    <w:p w14:paraId="7770793E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</w:r>
      <w:proofErr w:type="gramStart"/>
      <w:r>
        <w:t>[ ]</w:t>
      </w:r>
      <w:proofErr w:type="gramEnd"/>
      <w:r>
        <w:t xml:space="preserve"> </w:t>
      </w:r>
      <w:r>
        <w:rPr>
          <w:rFonts w:ascii="Courier New" w:hAnsi="Courier New"/>
          <w:sz w:val="18"/>
          <w:shd w:val="clear" w:color="auto" w:fill="F2F1F0"/>
        </w:rPr>
        <w:t>tdc22_multiseed.csv</w:t>
      </w:r>
      <w:r>
        <w:t xml:space="preserve"> present; abstract/§4 report mean ± SD for the TDC subset (C2).</w:t>
      </w:r>
    </w:p>
    <w:p w14:paraId="30E844F9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</w:r>
      <w:proofErr w:type="gramStart"/>
      <w:r>
        <w:t>[ ]</w:t>
      </w:r>
      <w:proofErr w:type="gramEnd"/>
      <w:r>
        <w:t xml:space="preserve"> </w:t>
      </w:r>
      <w:r>
        <w:rPr>
          <w:rFonts w:ascii="Courier New" w:hAnsi="Courier New"/>
          <w:sz w:val="18"/>
          <w:shd w:val="clear" w:color="auto" w:fill="F2F1F0"/>
        </w:rPr>
        <w:t>applicability_domain.csv</w:t>
      </w:r>
      <w:r>
        <w:t xml:space="preserve"> present; AD table/figure in paper; OECD subsection complete with real numbers (C3, M1).</w:t>
      </w:r>
    </w:p>
    <w:p w14:paraId="59AACB43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</w:r>
      <w:proofErr w:type="gramStart"/>
      <w:r>
        <w:t>[ ]</w:t>
      </w:r>
      <w:proofErr w:type="gramEnd"/>
      <w:r>
        <w:t xml:space="preserve"> </w:t>
      </w:r>
      <w:r>
        <w:rPr>
          <w:b/>
        </w:rPr>
        <w:t>[team]</w:t>
      </w:r>
      <w:r>
        <w:t xml:space="preserve"> ensemble regenerated leakage-free; figures/tables/narrative updated by the agent (C4→M4).</w:t>
      </w:r>
    </w:p>
    <w:p w14:paraId="0844BC22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</w:r>
      <w:proofErr w:type="gramStart"/>
      <w:r>
        <w:t>[ ]</w:t>
      </w:r>
      <w:proofErr w:type="gramEnd"/>
      <w:r>
        <w:t xml:space="preserve"> </w:t>
      </w:r>
      <w:r>
        <w:rPr>
          <w:rFonts w:ascii="Courier New" w:hAnsi="Courier New"/>
          <w:sz w:val="18"/>
          <w:shd w:val="clear" w:color="auto" w:fill="F2F1F0"/>
        </w:rPr>
        <w:t>admet_ai_parity.csv</w:t>
      </w:r>
      <w:r>
        <w:t xml:space="preserve"> present; title claim consistent with it (C5).</w:t>
      </w:r>
    </w:p>
    <w:p w14:paraId="4FF22251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</w:r>
      <w:proofErr w:type="gramStart"/>
      <w:r>
        <w:t>[ ]</w:t>
      </w:r>
      <w:proofErr w:type="gramEnd"/>
      <w:r>
        <w:t xml:space="preserve"> </w:t>
      </w:r>
      <w:proofErr w:type="spellStart"/>
      <w:r>
        <w:t>MaxQsaring</w:t>
      </w:r>
      <w:proofErr w:type="spellEnd"/>
      <w:r>
        <w:t xml:space="preserve"> authors corrected; </w:t>
      </w:r>
      <w:proofErr w:type="spellStart"/>
      <w:r>
        <w:t>MetaQSAR</w:t>
      </w:r>
      <w:proofErr w:type="spellEnd"/>
      <w:r>
        <w:t xml:space="preserve">, Uni-Mol2, </w:t>
      </w:r>
      <w:proofErr w:type="spellStart"/>
      <w:r>
        <w:t>Chemprop</w:t>
      </w:r>
      <w:proofErr w:type="spellEnd"/>
      <w:r>
        <w:t xml:space="preserve"> v2 cited; </w:t>
      </w:r>
      <w:proofErr w:type="spellStart"/>
      <w:r>
        <w:t>Zenodo</w:t>
      </w:r>
      <w:proofErr w:type="spellEnd"/>
      <w:r>
        <w:t xml:space="preserve"> DOI filled; no </w:t>
      </w:r>
      <w:r>
        <w:rPr>
          <w:rFonts w:ascii="Courier New" w:hAnsi="Courier New"/>
          <w:sz w:val="18"/>
          <w:shd w:val="clear" w:color="auto" w:fill="F2F1F0"/>
        </w:rPr>
        <w:t>[VERIFY]</w:t>
      </w:r>
      <w:r>
        <w:t>/</w:t>
      </w:r>
      <w:r>
        <w:rPr>
          <w:rFonts w:ascii="Courier New" w:hAnsi="Courier New"/>
          <w:sz w:val="18"/>
          <w:shd w:val="clear" w:color="auto" w:fill="F2F1F0"/>
        </w:rPr>
        <w:t>[AUTHOR]</w:t>
      </w:r>
      <w:r>
        <w:t>/</w:t>
      </w:r>
      <w:proofErr w:type="spellStart"/>
      <w:r>
        <w:rPr>
          <w:rFonts w:ascii="Courier New" w:hAnsi="Courier New"/>
          <w:sz w:val="18"/>
          <w:shd w:val="clear" w:color="auto" w:fill="F2F1F0"/>
        </w:rPr>
        <w:t>AutoQSAR</w:t>
      </w:r>
      <w:proofErr w:type="spellEnd"/>
      <w:r>
        <w:t xml:space="preserve"> residue (M3, C9).</w:t>
      </w:r>
    </w:p>
    <w:p w14:paraId="171B5F96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</w:r>
      <w:proofErr w:type="gramStart"/>
      <w:r>
        <w:t>[ ]</w:t>
      </w:r>
      <w:proofErr w:type="gramEnd"/>
      <w:r>
        <w:t xml:space="preserve"> Declarations + keywords + abstract complete; proof banner removed; "44" consistent everywhere (M5).</w:t>
      </w:r>
    </w:p>
    <w:p w14:paraId="102EAF06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•</w:t>
      </w:r>
      <w:r>
        <w:tab/>
      </w:r>
      <w:proofErr w:type="gramStart"/>
      <w:r>
        <w:t>[ ]</w:t>
      </w:r>
      <w:proofErr w:type="gramEnd"/>
      <w:r>
        <w:t xml:space="preserve"> </w:t>
      </w:r>
      <w:r>
        <w:rPr>
          <w:rFonts w:ascii="Courier New" w:hAnsi="Courier New"/>
          <w:sz w:val="18"/>
          <w:shd w:val="clear" w:color="auto" w:fill="F2F1F0"/>
        </w:rPr>
        <w:t>CHANGELOG.md</w:t>
      </w:r>
      <w:r>
        <w:t xml:space="preserve"> updated per task; </w:t>
      </w:r>
      <w:proofErr w:type="spellStart"/>
      <w:r>
        <w:t>Zenodo</w:t>
      </w:r>
      <w:proofErr w:type="spellEnd"/>
      <w:r>
        <w:t xml:space="preserve"> archive deposited and DOI live (C8).</w:t>
      </w:r>
    </w:p>
    <w:p w14:paraId="69FD2F20" w14:textId="77777777" w:rsidR="00D51A26" w:rsidRDefault="009A6BC2">
      <w:r>
        <w:rPr>
          <w:b/>
        </w:rPr>
        <w:t>Reminder:</w:t>
      </w:r>
      <w:r>
        <w:t xml:space="preserve"> the agent must not duplicate the team-owned </w:t>
      </w:r>
      <w:proofErr w:type="spellStart"/>
      <w:r>
        <w:t>Chemprop</w:t>
      </w:r>
      <w:proofErr w:type="spellEnd"/>
      <w:r>
        <w:t xml:space="preserve"> and ensemble work — its job there is to add a thin regression guard if missing and to propagate the regenerated numbers into the manuscript. Prioritize the DIFF items (OECD alignment, AD, </w:t>
      </w:r>
      <w:proofErr w:type="spellStart"/>
      <w:r>
        <w:t>MetaQSAR</w:t>
      </w:r>
      <w:proofErr w:type="spellEnd"/>
      <w:r>
        <w:t xml:space="preserve"> positioning, QMRF/</w:t>
      </w:r>
      <w:proofErr w:type="gramStart"/>
      <w:r>
        <w:t>QPRF) —</w:t>
      </w:r>
      <w:proofErr w:type="gramEnd"/>
      <w:r>
        <w:t xml:space="preserve"> they are what distinguish </w:t>
      </w:r>
      <w:proofErr w:type="spellStart"/>
      <w:r>
        <w:t>QSARena</w:t>
      </w:r>
      <w:proofErr w:type="spellEnd"/>
      <w:r>
        <w:t xml:space="preserve"> in a crowded field. Do not overwrite the manuscript's honest caveats.</w:t>
      </w:r>
    </w:p>
    <w:p w14:paraId="3105D670" w14:textId="77777777" w:rsidR="00D51A26" w:rsidRDefault="009A6BC2">
      <w:pPr>
        <w:pStyle w:val="Heading2"/>
      </w:pPr>
      <w:r>
        <w:t>References</w:t>
      </w:r>
    </w:p>
    <w:p w14:paraId="48004B2C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1.</w:t>
      </w:r>
      <w:r>
        <w:tab/>
      </w:r>
      <w:proofErr w:type="spellStart"/>
      <w:r>
        <w:t>Organisation</w:t>
      </w:r>
      <w:proofErr w:type="spellEnd"/>
      <w:r>
        <w:t xml:space="preserve"> for Economic Co-operation and Development (OECD). Microsoft Word - OECD Principles for QSAR Validation.doc. Retrieved 2026-09-25, from </w:t>
      </w:r>
      <w:hyperlink r:id="rId21">
        <w:r>
          <w:rPr>
            <w:color w:val="1F5132"/>
            <w:u w:val="single"/>
          </w:rPr>
          <w:t>https://www.oecd.org/content/dam/oecd/en/topics/policy-sub-issues/assessment-of-chemicals/oecd-principles-for-the-validation-for-regulatory-purposes-of-quantitative-structure-activity-relationship-models.pdf</w:t>
        </w:r>
      </w:hyperlink>
    </w:p>
    <w:p w14:paraId="4E50B192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2.</w:t>
      </w:r>
      <w:r>
        <w:tab/>
      </w:r>
      <w:proofErr w:type="spellStart"/>
      <w:r>
        <w:t>Organisation</w:t>
      </w:r>
      <w:proofErr w:type="spellEnd"/>
      <w:r>
        <w:t xml:space="preserve"> for Economic Co-operation and Development (OECD). (Q)SAR Assessment Framework. Retrieved 2026-09-25, from </w:t>
      </w:r>
      <w:hyperlink r:id="rId22">
        <w:r>
          <w:rPr>
            <w:color w:val="1F5132"/>
            <w:u w:val="single"/>
          </w:rPr>
          <w:t>https://www.oecd.org/content/dam/oecd/en/publications/reports/2023/11/q-sar-assessment-framework-guidance-for-the-regulatory-assessment-of-quantitative-structure-activity-relationship-models-and-predictions_9b064821/d96118f6-en.pdf</w:t>
        </w:r>
      </w:hyperlink>
    </w:p>
    <w:p w14:paraId="08B91F09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3.</w:t>
      </w:r>
      <w:r>
        <w:tab/>
      </w:r>
      <w:r>
        <w:t>metaQSAR.pdf. Internal reference: file:25999#pages=10-12. Accessed 2026-09-25.</w:t>
      </w:r>
    </w:p>
    <w:p w14:paraId="40E84C73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4.</w:t>
      </w:r>
      <w:r>
        <w:tab/>
        <w:t>maxQSAR.pdf. Internal reference: file:26000#pages=1-2. Accessed 2026-09-25.</w:t>
      </w:r>
    </w:p>
    <w:p w14:paraId="2AC9A9C0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5.</w:t>
      </w:r>
      <w:r>
        <w:tab/>
        <w:t xml:space="preserve">Exploring Molecular Pretraining Model at Scale. Retrieved 2026-09-25, from </w:t>
      </w:r>
      <w:hyperlink r:id="rId23">
        <w:r>
          <w:rPr>
            <w:color w:val="1F5132"/>
            <w:u w:val="single"/>
          </w:rPr>
          <w:t>https://proceedings.neurips.cc/paper_files/paper/2024/file/53923bb44655a7defb31c7744c01b62b-Paper-Conference.pdf</w:t>
        </w:r>
      </w:hyperlink>
    </w:p>
    <w:p w14:paraId="1581F9A7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6.</w:t>
      </w:r>
      <w:r>
        <w:tab/>
      </w:r>
      <w:r>
        <w:t xml:space="preserve">Graff DE, Morgan NK, Burns JW, Doner AC, Li B, Li SC, Manu J, Menon A, Pang HW, Wu H, </w:t>
      </w:r>
      <w:proofErr w:type="spellStart"/>
      <w:r>
        <w:t>Zalte</w:t>
      </w:r>
      <w:proofErr w:type="spellEnd"/>
      <w:r>
        <w:t xml:space="preserve"> AS, Zheng JW, Coley CW, Green WH, Greenman KP. </w:t>
      </w:r>
      <w:proofErr w:type="spellStart"/>
      <w:r>
        <w:t>Chemprop</w:t>
      </w:r>
      <w:proofErr w:type="spellEnd"/>
      <w:r>
        <w:t xml:space="preserve"> v2: An Efficient, </w:t>
      </w:r>
      <w:r>
        <w:lastRenderedPageBreak/>
        <w:t xml:space="preserve">Modular Machine Learning Package for Chemical Property Prediction. J Chem Inf Model. 2026;66(1):28-33. </w:t>
      </w:r>
      <w:proofErr w:type="gramStart"/>
      <w:r>
        <w:t>doi:10.1021/acs.jcim</w:t>
      </w:r>
      <w:proofErr w:type="gramEnd"/>
      <w:r>
        <w:t>.5c02332. PMID: 41453060.</w:t>
      </w:r>
    </w:p>
    <w:p w14:paraId="36533969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7.</w:t>
      </w:r>
      <w:r>
        <w:tab/>
      </w:r>
      <w:r>
        <w:t xml:space="preserve">Heid E, Greenman KP, Chung Y, Li SC, Graff DE, Vermeire FH, Wu H, Green WH, McGill CJ. </w:t>
      </w:r>
      <w:proofErr w:type="spellStart"/>
      <w:r>
        <w:t>Chemprop</w:t>
      </w:r>
      <w:proofErr w:type="spellEnd"/>
      <w:r>
        <w:t xml:space="preserve">: A Machine Learning Package for Chemical Property Prediction. J Chem Inf Model. 2024;64(1):9-17. </w:t>
      </w:r>
      <w:proofErr w:type="gramStart"/>
      <w:r>
        <w:t>doi:10.1021/acs.jcim</w:t>
      </w:r>
      <w:proofErr w:type="gramEnd"/>
      <w:r>
        <w:t>.3c01250. PMID: 38147829.</w:t>
      </w:r>
    </w:p>
    <w:p w14:paraId="31CE3E66" w14:textId="77777777" w:rsidR="00D51A26" w:rsidRDefault="009A6BC2">
      <w:pPr>
        <w:pStyle w:val="ListParagraph"/>
        <w:tabs>
          <w:tab w:val="left" w:pos="720"/>
        </w:tabs>
        <w:ind w:left="720" w:hanging="360"/>
      </w:pPr>
      <w:r>
        <w:t>8.</w:t>
      </w:r>
      <w:r>
        <w:tab/>
        <w:t>proof.pdf. Internal reference: file:26001#pages=39-40. Accessed 2026-09-25.</w:t>
      </w:r>
    </w:p>
    <w:sectPr w:rsidR="00D51A26">
      <w:headerReference w:type="default" r:id="rId24"/>
      <w:footerReference w:type="default" r:id="rId2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84CBF" w14:textId="77777777" w:rsidR="009A6BC2" w:rsidRDefault="009A6BC2">
      <w:pPr>
        <w:spacing w:after="0" w:line="240" w:lineRule="auto"/>
      </w:pPr>
      <w:r>
        <w:separator/>
      </w:r>
    </w:p>
  </w:endnote>
  <w:endnote w:type="continuationSeparator" w:id="0">
    <w:p w14:paraId="12FBC879" w14:textId="77777777" w:rsidR="009A6BC2" w:rsidRDefault="009A6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39D2F" w14:textId="77777777" w:rsidR="00D51A26" w:rsidRDefault="009A6BC2">
    <w:pPr>
      <w:tabs>
        <w:tab w:val="right" w:pos="9072"/>
      </w:tabs>
      <w:spacing w:after="0" w:line="240" w:lineRule="auto"/>
    </w:pPr>
    <w:r>
      <w:rPr>
        <w:noProof/>
      </w:rPr>
      <w:drawing>
        <wp:inline distT="0" distB="0" distL="0" distR="0" wp14:anchorId="2BFC5633" wp14:editId="0A839B1A">
          <wp:extent cx="76200" cy="76200"/>
          <wp:effectExtent l="0" t="0" r="0" b="0"/>
          <wp:docPr id="1" name="HC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C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200" cy="76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color w:val="5A5A5A"/>
        <w:sz w:val="16"/>
        <w:szCs w:val="16"/>
      </w:rPr>
      <w:t xml:space="preserve">  Generated by Human Chemical · 2026</w:t>
    </w:r>
    <w:r>
      <w:rPr>
        <w:rFonts w:ascii="Calibri" w:eastAsia="Calibri" w:hAnsi="Calibri" w:cs="Calibri"/>
        <w:color w:val="5A5A5A"/>
        <w:sz w:val="16"/>
        <w:szCs w:val="16"/>
      </w:rPr>
      <w:tab/>
    </w:r>
    <w:r>
      <w:rPr>
        <w:rFonts w:ascii="Calibri" w:eastAsia="Calibri" w:hAnsi="Calibri" w:cs="Calibri"/>
        <w:color w:val="5A5A5A"/>
        <w:sz w:val="16"/>
        <w:szCs w:val="16"/>
      </w:rPr>
      <w:fldChar w:fldCharType="begin"/>
    </w:r>
    <w:r>
      <w:rPr>
        <w:rFonts w:ascii="Calibri" w:eastAsia="Calibri" w:hAnsi="Calibri" w:cs="Calibri"/>
        <w:color w:val="5A5A5A"/>
        <w:sz w:val="16"/>
        <w:szCs w:val="16"/>
      </w:rPr>
      <w:instrText xml:space="preserve"> PAGE </w:instrText>
    </w:r>
    <w:r>
      <w:rPr>
        <w:rFonts w:ascii="Calibri" w:eastAsia="Calibri" w:hAnsi="Calibri" w:cs="Calibri"/>
        <w:color w:val="5A5A5A"/>
        <w:sz w:val="16"/>
        <w:szCs w:val="16"/>
      </w:rPr>
      <w:fldChar w:fldCharType="separate"/>
    </w:r>
    <w:r w:rsidR="004137E5">
      <w:rPr>
        <w:rFonts w:ascii="Calibri" w:eastAsia="Calibri" w:hAnsi="Calibri" w:cs="Calibri"/>
        <w:noProof/>
        <w:color w:val="5A5A5A"/>
        <w:sz w:val="16"/>
        <w:szCs w:val="16"/>
      </w:rPr>
      <w:t>1</w:t>
    </w:r>
    <w:r>
      <w:rPr>
        <w:rFonts w:ascii="Calibri" w:eastAsia="Calibri" w:hAnsi="Calibri" w:cs="Calibri"/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74819" w14:textId="77777777" w:rsidR="009A6BC2" w:rsidRDefault="009A6BC2">
      <w:pPr>
        <w:spacing w:after="0" w:line="240" w:lineRule="auto"/>
      </w:pPr>
      <w:r>
        <w:separator/>
      </w:r>
    </w:p>
  </w:footnote>
  <w:footnote w:type="continuationSeparator" w:id="0">
    <w:p w14:paraId="3242FBD3" w14:textId="77777777" w:rsidR="009A6BC2" w:rsidRDefault="009A6B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1F170" w14:textId="77777777" w:rsidR="00D51A26" w:rsidRDefault="00D51A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70E65"/>
    <w:multiLevelType w:val="hybridMultilevel"/>
    <w:tmpl w:val="CF103984"/>
    <w:lvl w:ilvl="0" w:tplc="0554E508">
      <w:start w:val="1"/>
      <w:numFmt w:val="bullet"/>
      <w:lvlText w:val="•"/>
      <w:lvlJc w:val="left"/>
      <w:pPr>
        <w:ind w:left="720" w:hanging="360"/>
      </w:pPr>
      <w:rPr>
        <w:rFonts w:ascii="Georgia" w:eastAsia="Georgia" w:hAnsi="Georgia" w:cs="Georgia"/>
        <w:color w:val="171717"/>
        <w:sz w:val="20"/>
        <w:szCs w:val="20"/>
      </w:rPr>
    </w:lvl>
    <w:lvl w:ilvl="1" w:tplc="EA86C7C8">
      <w:start w:val="1"/>
      <w:numFmt w:val="bullet"/>
      <w:lvlText w:val="–"/>
      <w:lvlJc w:val="left"/>
      <w:pPr>
        <w:ind w:left="1440" w:hanging="360"/>
      </w:pPr>
      <w:rPr>
        <w:rFonts w:ascii="Georgia" w:eastAsia="Georgia" w:hAnsi="Georgia" w:cs="Georgia"/>
        <w:color w:val="171717"/>
        <w:sz w:val="20"/>
        <w:szCs w:val="20"/>
      </w:rPr>
    </w:lvl>
    <w:lvl w:ilvl="2" w:tplc="CC740EF6">
      <w:numFmt w:val="decimal"/>
      <w:lvlText w:val=""/>
      <w:lvlJc w:val="left"/>
    </w:lvl>
    <w:lvl w:ilvl="3" w:tplc="6F663E1A">
      <w:numFmt w:val="decimal"/>
      <w:lvlText w:val=""/>
      <w:lvlJc w:val="left"/>
    </w:lvl>
    <w:lvl w:ilvl="4" w:tplc="CBC6EAB8">
      <w:numFmt w:val="decimal"/>
      <w:lvlText w:val=""/>
      <w:lvlJc w:val="left"/>
    </w:lvl>
    <w:lvl w:ilvl="5" w:tplc="3A38DE10">
      <w:numFmt w:val="decimal"/>
      <w:lvlText w:val=""/>
      <w:lvlJc w:val="left"/>
    </w:lvl>
    <w:lvl w:ilvl="6" w:tplc="ACFA81C4">
      <w:numFmt w:val="decimal"/>
      <w:lvlText w:val=""/>
      <w:lvlJc w:val="left"/>
    </w:lvl>
    <w:lvl w:ilvl="7" w:tplc="BB22AD20">
      <w:numFmt w:val="decimal"/>
      <w:lvlText w:val=""/>
      <w:lvlJc w:val="left"/>
    </w:lvl>
    <w:lvl w:ilvl="8" w:tplc="4D983B80">
      <w:numFmt w:val="decimal"/>
      <w:lvlText w:val=""/>
      <w:lvlJc w:val="left"/>
    </w:lvl>
  </w:abstractNum>
  <w:abstractNum w:abstractNumId="1" w15:restartNumberingAfterBreak="0">
    <w:nsid w:val="78E962DB"/>
    <w:multiLevelType w:val="hybridMultilevel"/>
    <w:tmpl w:val="935CA79C"/>
    <w:lvl w:ilvl="0" w:tplc="A6325F3A">
      <w:start w:val="1"/>
      <w:numFmt w:val="bullet"/>
      <w:lvlText w:val="●"/>
      <w:lvlJc w:val="left"/>
      <w:pPr>
        <w:ind w:left="720" w:hanging="360"/>
      </w:pPr>
    </w:lvl>
    <w:lvl w:ilvl="1" w:tplc="A9ACD022">
      <w:start w:val="1"/>
      <w:numFmt w:val="bullet"/>
      <w:lvlText w:val="○"/>
      <w:lvlJc w:val="left"/>
      <w:pPr>
        <w:ind w:left="1440" w:hanging="360"/>
      </w:pPr>
    </w:lvl>
    <w:lvl w:ilvl="2" w:tplc="3D483E0A">
      <w:start w:val="1"/>
      <w:numFmt w:val="bullet"/>
      <w:lvlText w:val="■"/>
      <w:lvlJc w:val="left"/>
      <w:pPr>
        <w:ind w:left="2160" w:hanging="360"/>
      </w:pPr>
    </w:lvl>
    <w:lvl w:ilvl="3" w:tplc="765C0588">
      <w:start w:val="1"/>
      <w:numFmt w:val="bullet"/>
      <w:lvlText w:val="●"/>
      <w:lvlJc w:val="left"/>
      <w:pPr>
        <w:ind w:left="2880" w:hanging="360"/>
      </w:pPr>
    </w:lvl>
    <w:lvl w:ilvl="4" w:tplc="82E4005E">
      <w:start w:val="1"/>
      <w:numFmt w:val="bullet"/>
      <w:lvlText w:val="○"/>
      <w:lvlJc w:val="left"/>
      <w:pPr>
        <w:ind w:left="3600" w:hanging="360"/>
      </w:pPr>
    </w:lvl>
    <w:lvl w:ilvl="5" w:tplc="90E4E76C">
      <w:start w:val="1"/>
      <w:numFmt w:val="bullet"/>
      <w:lvlText w:val="■"/>
      <w:lvlJc w:val="left"/>
      <w:pPr>
        <w:ind w:left="4320" w:hanging="360"/>
      </w:pPr>
    </w:lvl>
    <w:lvl w:ilvl="6" w:tplc="BD0C0428">
      <w:start w:val="1"/>
      <w:numFmt w:val="bullet"/>
      <w:lvlText w:val="●"/>
      <w:lvlJc w:val="left"/>
      <w:pPr>
        <w:ind w:left="5040" w:hanging="360"/>
      </w:pPr>
    </w:lvl>
    <w:lvl w:ilvl="7" w:tplc="E38639B4">
      <w:start w:val="1"/>
      <w:numFmt w:val="bullet"/>
      <w:lvlText w:val="●"/>
      <w:lvlJc w:val="left"/>
      <w:pPr>
        <w:ind w:left="5760" w:hanging="360"/>
      </w:pPr>
    </w:lvl>
    <w:lvl w:ilvl="8" w:tplc="09E4AC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F75D29"/>
    <w:multiLevelType w:val="hybridMultilevel"/>
    <w:tmpl w:val="8DC2BCAE"/>
    <w:lvl w:ilvl="0" w:tplc="EBCEF18E">
      <w:start w:val="1"/>
      <w:numFmt w:val="decimal"/>
      <w:lvlText w:val="%1."/>
      <w:lvlJc w:val="left"/>
      <w:pPr>
        <w:ind w:left="720" w:hanging="360"/>
      </w:pPr>
      <w:rPr>
        <w:rFonts w:ascii="Georgia" w:eastAsia="Georgia" w:hAnsi="Georgia" w:cs="Georgia"/>
        <w:color w:val="171717"/>
        <w:sz w:val="20"/>
        <w:szCs w:val="20"/>
      </w:rPr>
    </w:lvl>
    <w:lvl w:ilvl="1" w:tplc="810C0964">
      <w:start w:val="1"/>
      <w:numFmt w:val="lowerLetter"/>
      <w:lvlText w:val="%2."/>
      <w:lvlJc w:val="left"/>
      <w:pPr>
        <w:ind w:left="1440" w:hanging="360"/>
      </w:pPr>
      <w:rPr>
        <w:rFonts w:ascii="Georgia" w:eastAsia="Georgia" w:hAnsi="Georgia" w:cs="Georgia"/>
        <w:color w:val="171717"/>
        <w:sz w:val="20"/>
        <w:szCs w:val="20"/>
      </w:rPr>
    </w:lvl>
    <w:lvl w:ilvl="2" w:tplc="B7EEBB12">
      <w:numFmt w:val="decimal"/>
      <w:lvlText w:val=""/>
      <w:lvlJc w:val="left"/>
    </w:lvl>
    <w:lvl w:ilvl="3" w:tplc="12DE16FE">
      <w:numFmt w:val="decimal"/>
      <w:lvlText w:val=""/>
      <w:lvlJc w:val="left"/>
    </w:lvl>
    <w:lvl w:ilvl="4" w:tplc="5BECE6A6">
      <w:numFmt w:val="decimal"/>
      <w:lvlText w:val=""/>
      <w:lvlJc w:val="left"/>
    </w:lvl>
    <w:lvl w:ilvl="5" w:tplc="1C44E19A">
      <w:numFmt w:val="decimal"/>
      <w:lvlText w:val=""/>
      <w:lvlJc w:val="left"/>
    </w:lvl>
    <w:lvl w:ilvl="6" w:tplc="536259F0">
      <w:numFmt w:val="decimal"/>
      <w:lvlText w:val=""/>
      <w:lvlJc w:val="left"/>
    </w:lvl>
    <w:lvl w:ilvl="7" w:tplc="E612D10A">
      <w:numFmt w:val="decimal"/>
      <w:lvlText w:val=""/>
      <w:lvlJc w:val="left"/>
    </w:lvl>
    <w:lvl w:ilvl="8" w:tplc="2C368574">
      <w:numFmt w:val="decimal"/>
      <w:lvlText w:val=""/>
      <w:lvlJc w:val="left"/>
    </w:lvl>
  </w:abstractNum>
  <w:num w:numId="1" w16cid:durableId="1761440686">
    <w:abstractNumId w:val="1"/>
    <w:lvlOverride w:ilvl="0">
      <w:startOverride w:val="1"/>
    </w:lvlOverride>
  </w:num>
  <w:num w:numId="2" w16cid:durableId="70585425">
    <w:abstractNumId w:val="0"/>
    <w:lvlOverride w:ilvl="0">
      <w:startOverride w:val="1"/>
    </w:lvlOverride>
  </w:num>
  <w:num w:numId="3" w16cid:durableId="126970108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A26"/>
    <w:rsid w:val="004137E5"/>
    <w:rsid w:val="00857AD0"/>
    <w:rsid w:val="009A6BC2"/>
    <w:rsid w:val="00D5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8418D"/>
  <w15:docId w15:val="{98ED553B-75B2-49B1-AB48-CA6291D7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71717"/>
        <w:lang w:val="en-US" w:eastAsia="en-US" w:bidi="ar-SA"/>
      </w:rPr>
    </w:rPrDefault>
    <w:pPrDefault>
      <w:pPr>
        <w:spacing w:line="3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76" w:lineRule="auto"/>
    </w:pPr>
    <w:rPr>
      <w:rFonts w:ascii="Arial" w:eastAsia="Arial" w:hAnsi="Arial" w:cs="Arial"/>
      <w:color w:val="1A1A1A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8" w:space="4" w:color="1F5132"/>
      </w:pBdr>
      <w:spacing w:before="280" w:after="160"/>
      <w:outlineLvl w:val="0"/>
    </w:pPr>
    <w:rPr>
      <w:b/>
      <w:color w:val="1F5132"/>
      <w:sz w:val="30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20" w:after="120"/>
      <w:outlineLvl w:val="1"/>
    </w:pPr>
    <w:rPr>
      <w:b/>
      <w:sz w:val="25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b/>
      <w:color w:val="1F5132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b/>
      <w:i/>
      <w:iCs/>
      <w:color w:val="171717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outlineLvl w:val="4"/>
    </w:pPr>
    <w:rPr>
      <w:b/>
      <w:color w:val="171717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outlineLvl w:val="5"/>
    </w:pPr>
    <w:rPr>
      <w:b/>
      <w:color w:val="1717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b/>
      <w:color w:val="1F5132"/>
      <w:sz w:val="44"/>
      <w:szCs w:val="40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1F5132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qFormat/>
    <w:pPr>
      <w:pBdr>
        <w:left w:val="single" w:sz="12" w:space="8" w:color="E8E8E8"/>
      </w:pBdr>
      <w:spacing w:before="120" w:after="120" w:line="380" w:lineRule="exact"/>
      <w:ind w:left="480"/>
    </w:pPr>
    <w:rPr>
      <w:color w:val="5A6470"/>
      <w:sz w:val="20"/>
    </w:rPr>
  </w:style>
  <w:style w:type="paragraph" w:customStyle="1" w:styleId="TableHeader">
    <w:name w:val="Table Header"/>
    <w:basedOn w:val="Normal"/>
    <w:qFormat/>
    <w:pPr>
      <w:spacing w:before="40" w:after="40" w:line="240" w:lineRule="auto"/>
    </w:pPr>
    <w:rPr>
      <w:b/>
      <w:bCs/>
      <w:color w:val="FFFFFF"/>
      <w:sz w:val="20"/>
      <w:szCs w:val="17"/>
    </w:rPr>
  </w:style>
  <w:style w:type="paragraph" w:customStyle="1" w:styleId="TableBody">
    <w:name w:val="Table Body"/>
    <w:basedOn w:val="Normal"/>
    <w:qFormat/>
    <w:pPr>
      <w:spacing w:before="40" w:after="40" w:line="260" w:lineRule="auto"/>
    </w:pPr>
    <w:rPr>
      <w:sz w:val="20"/>
    </w:rPr>
  </w:style>
  <w:style w:type="paragraph" w:customStyle="1" w:styleId="CodeBlock">
    <w:name w:val="Code Block"/>
    <w:basedOn w:val="Normal"/>
    <w:qFormat/>
    <w:pPr>
      <w:spacing w:before="80" w:after="80" w:line="260" w:lineRule="auto"/>
    </w:pPr>
    <w:rPr>
      <w:rFonts w:ascii="Courier New" w:eastAsia="Courier New" w:hAnsi="Courier New" w:cs="Courier New"/>
      <w:color w:val="171717"/>
      <w:sz w:val="18"/>
      <w:szCs w:val="18"/>
    </w:rPr>
  </w:style>
  <w:style w:type="character" w:customStyle="1" w:styleId="InlineCode">
    <w:name w:val="Inline Code"/>
    <w:uiPriority w:val="99"/>
    <w:unhideWhenUsed/>
    <w:rPr>
      <w:rFonts w:ascii="Courier New" w:eastAsia="Courier New" w:hAnsi="Courier New" w:cs="Courier New"/>
      <w:color w:val="171717"/>
      <w:sz w:val="18"/>
      <w:szCs w:val="18"/>
      <w:shd w:val="clear" w:color="auto" w:fill="F2F1F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ecd.org/content/dam/oecd/en/publications/reports/2023/11/q-sar-assessment-framework-guidance-for-the-regulatory-assessment-of-quantitative-structure-activity-relationship-models-and-predictions_9b064821/d96118f6-en.pdf" TargetMode="External"/><Relationship Id="rId13" Type="http://schemas.openxmlformats.org/officeDocument/2006/relationships/hyperlink" Target="file:///C:\Users\Scott.Coffin\Downloads\25999" TargetMode="External"/><Relationship Id="rId18" Type="http://schemas.openxmlformats.org/officeDocument/2006/relationships/hyperlink" Target="https://pubmed.ncbi.nlm.nih.gov/38147829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oecd.org/content/dam/oecd/en/topics/policy-sub-issues/assessment-of-chemicals/oecd-principles-for-the-validation-for-regulatory-purposes-of-quantitative-structure-activity-relationship-models.pdf" TargetMode="External"/><Relationship Id="rId7" Type="http://schemas.openxmlformats.org/officeDocument/2006/relationships/hyperlink" Target="https://www.oecd.org/content/dam/oecd/en/topics/policy-sub-issues/assessment-of-chemicals/oecd-principles-for-the-validation-for-regulatory-purposes-of-quantitative-structure-activity-relationship-models.pdf" TargetMode="External"/><Relationship Id="rId12" Type="http://schemas.openxmlformats.org/officeDocument/2006/relationships/hyperlink" Target="file:///C:\Users\Scott.Coffin\Downloads\25999" TargetMode="External"/><Relationship Id="rId17" Type="http://schemas.openxmlformats.org/officeDocument/2006/relationships/hyperlink" Target="https://pubmed.ncbi.nlm.nih.gov/41453060/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proceedings.neurips.cc/paper_files/paper/2024/file/53923bb44655a7defb31c7744c01b62b-Paper-Conference.pdf" TargetMode="External"/><Relationship Id="rId20" Type="http://schemas.openxmlformats.org/officeDocument/2006/relationships/hyperlink" Target="file:///C:\Users\Scott.Coffin\Downloads\2600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Scott.Coffin\Downloads\25999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file:///C:\Users\Scott.Coffin\Downloads\25999" TargetMode="External"/><Relationship Id="rId23" Type="http://schemas.openxmlformats.org/officeDocument/2006/relationships/hyperlink" Target="https://proceedings.neurips.cc/paper_files/paper/2024/file/53923bb44655a7defb31c7744c01b62b-Paper-Conference.pdf" TargetMode="External"/><Relationship Id="rId10" Type="http://schemas.openxmlformats.org/officeDocument/2006/relationships/hyperlink" Target="file:///C:\Users\Scott.Coffin\Downloads\25999" TargetMode="External"/><Relationship Id="rId19" Type="http://schemas.openxmlformats.org/officeDocument/2006/relationships/hyperlink" Target="file:///C:\Users\Scott.Coffin\Downloads\260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Scott.Coffin\Downloads\25999" TargetMode="External"/><Relationship Id="rId14" Type="http://schemas.openxmlformats.org/officeDocument/2006/relationships/hyperlink" Target="file:///C:\Users\Scott.Coffin\Downloads\26000" TargetMode="External"/><Relationship Id="rId22" Type="http://schemas.openxmlformats.org/officeDocument/2006/relationships/hyperlink" Target="https://www.oecd.org/content/dam/oecd/en/publications/reports/2023/11/q-sar-assessment-framework-guidance-for-the-regulatory-assessment-of-quantitative-structure-activity-relationship-models-and-predictions_9b064821/d96118f6-en.pdf" TargetMode="Externa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3212</Words>
  <Characters>18313</Characters>
  <Application>Microsoft Office Word</Application>
  <DocSecurity>0</DocSecurity>
  <Lines>152</Lines>
  <Paragraphs>42</Paragraphs>
  <ScaleCrop>false</ScaleCrop>
  <Company/>
  <LinksUpToDate>false</LinksUpToDate>
  <CharactersWithSpaces>21483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Coffin, Scott@OEHHA</cp:lastModifiedBy>
  <cp:revision>1</cp:revision>
  <dcterms:created xsi:type="dcterms:W3CDTF">2026-03-05T17:19:00Z</dcterms:created>
  <dcterms:modified xsi:type="dcterms:W3CDTF">2026-09-25T19:41:00Z</dcterms:modified>
</cp:coreProperties>
</file>