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E0E2" w14:textId="48F236B6" w:rsidR="008909C8" w:rsidRPr="008909C8" w:rsidRDefault="008909C8" w:rsidP="008909C8">
      <w:pPr>
        <w:jc w:val="center"/>
        <w:rPr>
          <w:rFonts w:ascii="Times New Roman" w:hAnsi="Times New Roman" w:cs="Times New Roman"/>
          <w:b/>
          <w:bCs/>
          <w:sz w:val="24"/>
          <w:szCs w:val="24"/>
        </w:rPr>
      </w:pPr>
      <w:r w:rsidRPr="008909C8">
        <w:rPr>
          <w:rFonts w:ascii="Times New Roman" w:hAnsi="Times New Roman" w:cs="Times New Roman"/>
          <w:b/>
          <w:bCs/>
          <w:sz w:val="24"/>
          <w:szCs w:val="24"/>
        </w:rPr>
        <w:t>Supplementary Information</w:t>
      </w:r>
    </w:p>
    <w:p w14:paraId="6F2AE9EF" w14:textId="433D5B50" w:rsidR="008909C8" w:rsidRPr="008909C8" w:rsidRDefault="008909C8" w:rsidP="008909C8">
      <w:pPr>
        <w:jc w:val="center"/>
        <w:rPr>
          <w:rFonts w:ascii="Times New Roman" w:hAnsi="Times New Roman" w:cs="Times New Roman"/>
          <w:sz w:val="24"/>
          <w:szCs w:val="24"/>
        </w:rPr>
      </w:pPr>
      <w:r w:rsidRPr="008909C8">
        <w:rPr>
          <w:rFonts w:ascii="Times New Roman" w:hAnsi="Times New Roman" w:cs="Times New Roman"/>
          <w:sz w:val="24"/>
          <w:szCs w:val="24"/>
        </w:rPr>
        <w:t>MNP Compass: a resource for coordinating microplastics research, reporting, and publication criteria across disciplines</w:t>
      </w:r>
    </w:p>
    <w:p w14:paraId="0743CAC7" w14:textId="58D885B8"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i/>
          <w:iCs/>
          <w:sz w:val="24"/>
          <w:szCs w:val="24"/>
        </w:rPr>
        <w:t>Granek, Elise F.*; Coffin, Scott*; Brander, Susanne M.*; Seeley, Meredith Evans; Thornton Hampton, Leah M.; El Hayek, Eliane; Walker, Vickie R.; Wagner, Martin; Gouin, Todd; Gray, Andrew B.; Harper, Stacey L.; Rooney, Andrew A.</w:t>
      </w:r>
      <w:r w:rsidRPr="008909C8">
        <w:rPr>
          <w:rFonts w:ascii="Times New Roman" w:hAnsi="Times New Roman" w:cs="Times New Roman"/>
          <w:sz w:val="24"/>
          <w:szCs w:val="24"/>
        </w:rPr>
        <w:t> </w:t>
      </w:r>
      <w:r w:rsidR="00F045F9">
        <w:rPr>
          <w:rFonts w:ascii="Times New Roman" w:hAnsi="Times New Roman" w:cs="Times New Roman"/>
          <w:sz w:val="24"/>
          <w:szCs w:val="24"/>
        </w:rPr>
        <w:br/>
      </w:r>
    </w:p>
    <w:p w14:paraId="4EC6EF7C"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*Granek, Elise F.; Environmental Science &amp; Management, Portland State University, Portland, Oregon, USA 97201</w:t>
      </w:r>
    </w:p>
    <w:p w14:paraId="40DE54EB"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*Coffin, Scott Office of Environmental Health Hazard Assessment, 1001 I. St., Sacramento, California, 95814, United States of America</w:t>
      </w:r>
    </w:p>
    <w:p w14:paraId="2C6C924A"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*Brander, Susanne M. Oregon State University, College of Agricultural Sciences, Corvallis,</w:t>
      </w:r>
    </w:p>
    <w:p w14:paraId="5C34EF55"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Oregon, 97331, USA</w:t>
      </w:r>
    </w:p>
    <w:p w14:paraId="75CE7089"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Seeley, Meredith Evans. Virginia Institute of Marine Science, William &amp; Mary, Gloucester</w:t>
      </w:r>
    </w:p>
    <w:p w14:paraId="0BC01DC0"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Point, VA 23062, USA</w:t>
      </w:r>
    </w:p>
    <w:p w14:paraId="64420A77"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Thornton Hampton, Leah M. Toxicology Department, Southern California Coastal Water Research Project, 3535 Harbor Blvd. Suite 110, Costa Mesa, CA, 92626-1437, USA</w:t>
      </w:r>
    </w:p>
    <w:p w14:paraId="54986E84"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El Hayek, Eliane. Department of Pharmaceutical Sciences, University of New Mexico, College of Pharmacy, MSC09 5360, Albuquerque, New Mexico 87131, USA</w:t>
      </w:r>
    </w:p>
    <w:p w14:paraId="76D49E62"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Walker, Vickie R.; Division of Translational Toxicology (DTT), National Institute of Environmental Health Sciences (NIEHS), National Institutes of Health (NIH), Durham, NC, 27709, USA</w:t>
      </w:r>
    </w:p>
    <w:p w14:paraId="55CD0D09"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Wagner, Martin, Department of Biology, Norwegian University of Science and Technology</w:t>
      </w:r>
    </w:p>
    <w:p w14:paraId="367A00CA"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(NTNU), Trondheim, Norway </w:t>
      </w:r>
    </w:p>
    <w:p w14:paraId="017D1C27"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Gouin, Todd, TG Environmental Research, Sharnbrook, MK44 1PL, UK</w:t>
      </w:r>
    </w:p>
    <w:p w14:paraId="37ADC4AF"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Gray, Andrew B. Department of Environmental Sciences, University of California, Riverside, Riverside, California, 92521, USA</w:t>
      </w:r>
    </w:p>
    <w:p w14:paraId="205F301D"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Harper, Stacey L. Oregon State University, College of Agricultural Sciences/College of</w:t>
      </w:r>
    </w:p>
    <w:p w14:paraId="7EC592DC" w14:textId="77777777" w:rsidR="008909C8" w:rsidRPr="008909C8" w:rsidRDefault="008909C8" w:rsidP="00F045F9">
      <w:pPr>
        <w:spacing w:after="0"/>
        <w:rPr>
          <w:rFonts w:ascii="Times New Roman" w:hAnsi="Times New Roman" w:cs="Times New Roman"/>
          <w:sz w:val="24"/>
          <w:szCs w:val="24"/>
        </w:rPr>
      </w:pPr>
      <w:r w:rsidRPr="008909C8">
        <w:rPr>
          <w:rFonts w:ascii="Times New Roman" w:hAnsi="Times New Roman" w:cs="Times New Roman"/>
          <w:sz w:val="24"/>
          <w:szCs w:val="24"/>
        </w:rPr>
        <w:t>Engineering, Corvallis, Oregon, 97331, USA\</w:t>
      </w:r>
    </w:p>
    <w:p w14:paraId="61526D72" w14:textId="28F447C1" w:rsidR="008909C8" w:rsidRDefault="008909C8" w:rsidP="00F045F9">
      <w:pPr>
        <w:spacing w:after="0"/>
        <w:rPr>
          <w:rFonts w:ascii="Times New Roman" w:hAnsi="Times New Roman" w:cs="Times New Roman"/>
          <w:b/>
          <w:i/>
          <w:iCs/>
          <w:color w:val="auto"/>
          <w:sz w:val="24"/>
          <w:szCs w:val="24"/>
        </w:rPr>
      </w:pPr>
      <w:r w:rsidRPr="008909C8">
        <w:rPr>
          <w:rFonts w:ascii="Times New Roman" w:hAnsi="Times New Roman" w:cs="Times New Roman"/>
          <w:sz w:val="24"/>
          <w:szCs w:val="24"/>
        </w:rPr>
        <w:t>Rooney, Andrew A.; Division of Translational Toxicology (DTT), National Institute of Environmental Health Sciences (NIEHS), National Institutes of Health (NIH), Durham, NC, 27709, USA</w:t>
      </w:r>
      <w:r>
        <w:rPr>
          <w:rFonts w:ascii="Times New Roman" w:hAnsi="Times New Roman" w:cs="Times New Roman"/>
          <w:sz w:val="24"/>
          <w:szCs w:val="24"/>
        </w:rPr>
        <w:br/>
      </w:r>
      <w:r>
        <w:rPr>
          <w:rFonts w:ascii="Times New Roman" w:hAnsi="Times New Roman" w:cs="Times New Roman"/>
          <w:sz w:val="24"/>
          <w:szCs w:val="24"/>
        </w:rPr>
        <w:br/>
      </w:r>
      <w:r w:rsidRPr="008909C8">
        <w:rPr>
          <w:rFonts w:ascii="Times New Roman" w:hAnsi="Times New Roman" w:cs="Times New Roman"/>
          <w:b/>
          <w:i/>
          <w:iCs/>
          <w:color w:val="auto"/>
          <w:sz w:val="24"/>
          <w:szCs w:val="24"/>
        </w:rPr>
        <w:t>*Authors contributed equally</w:t>
      </w:r>
    </w:p>
    <w:p w14:paraId="51828390" w14:textId="77777777" w:rsidR="00F045F9" w:rsidRDefault="00F045F9" w:rsidP="00F045F9">
      <w:pPr>
        <w:spacing w:after="0"/>
        <w:rPr>
          <w:rFonts w:ascii="Times New Roman" w:hAnsi="Times New Roman" w:cs="Times New Roman"/>
          <w:b/>
          <w:i/>
          <w:iCs/>
          <w:color w:val="auto"/>
          <w:sz w:val="24"/>
          <w:szCs w:val="24"/>
        </w:rPr>
      </w:pPr>
    </w:p>
    <w:p w14:paraId="2AD9122D" w14:textId="77777777" w:rsidR="00F045F9" w:rsidRDefault="00F045F9" w:rsidP="00F045F9">
      <w:pPr>
        <w:spacing w:after="0"/>
        <w:rPr>
          <w:rFonts w:ascii="Times New Roman" w:hAnsi="Times New Roman" w:cs="Times New Roman"/>
          <w:b/>
          <w:i/>
          <w:iCs/>
          <w:color w:val="auto"/>
          <w:sz w:val="24"/>
          <w:szCs w:val="24"/>
        </w:rPr>
      </w:pPr>
    </w:p>
    <w:p w14:paraId="2D47CAF3" w14:textId="77777777" w:rsidR="00F045F9" w:rsidRDefault="00F045F9" w:rsidP="00F045F9">
      <w:pPr>
        <w:spacing w:after="0"/>
        <w:rPr>
          <w:rFonts w:ascii="Times New Roman" w:hAnsi="Times New Roman" w:cs="Times New Roman"/>
          <w:b/>
          <w:i/>
          <w:iCs/>
          <w:color w:val="auto"/>
          <w:sz w:val="24"/>
          <w:szCs w:val="24"/>
        </w:rPr>
      </w:pPr>
    </w:p>
    <w:p w14:paraId="0C94E0D8" w14:textId="77777777" w:rsidR="00F045F9" w:rsidRDefault="00F045F9" w:rsidP="00F045F9">
      <w:pPr>
        <w:spacing w:after="0"/>
        <w:rPr>
          <w:rFonts w:ascii="Times New Roman" w:hAnsi="Times New Roman" w:cs="Times New Roman"/>
          <w:b/>
          <w:i/>
          <w:iCs/>
          <w:color w:val="auto"/>
          <w:sz w:val="24"/>
          <w:szCs w:val="24"/>
        </w:rPr>
      </w:pPr>
    </w:p>
    <w:p w14:paraId="17F7E475" w14:textId="77777777" w:rsidR="00F045F9" w:rsidRPr="008909C8" w:rsidRDefault="00F045F9" w:rsidP="00F045F9">
      <w:pPr>
        <w:spacing w:after="0"/>
        <w:rPr>
          <w:rFonts w:ascii="Times New Roman" w:hAnsi="Times New Roman" w:cs="Times New Roman"/>
          <w:b/>
          <w:color w:val="auto"/>
          <w:sz w:val="24"/>
          <w:szCs w:val="24"/>
        </w:rPr>
      </w:pPr>
    </w:p>
    <w:p w14:paraId="398ADD3D"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lastRenderedPageBreak/>
        <w:t>S1. Overview and intended use</w:t>
      </w:r>
    </w:p>
    <w:p w14:paraId="1F5648CD" w14:textId="77777777" w:rsidR="000C2C37" w:rsidRPr="008909C8" w:rsidRDefault="00000000">
      <w:pPr>
        <w:rPr>
          <w:rFonts w:ascii="Times New Roman" w:hAnsi="Times New Roman" w:cs="Times New Roman"/>
          <w:color w:val="auto"/>
        </w:rPr>
      </w:pPr>
      <w:r w:rsidRPr="00F045F9">
        <w:rPr>
          <w:rFonts w:ascii="Times New Roman" w:hAnsi="Times New Roman" w:cs="Times New Roman"/>
          <w:i/>
          <w:iCs/>
          <w:color w:val="auto"/>
        </w:rPr>
        <w:t>MNP Compass</w:t>
      </w:r>
      <w:r w:rsidRPr="008909C8">
        <w:rPr>
          <w:rFonts w:ascii="Times New Roman" w:hAnsi="Times New Roman" w:cs="Times New Roman"/>
          <w:color w:val="auto"/>
        </w:rPr>
        <w:t xml:space="preserve"> is an open-source, interactive decision-support application that helps researchers, funders, journal editors, and reviewers locate the most relevant and authoritative methods, standards, guidance, and critical-review literature for micro- and nanoplastics (MNP) research. Operationally, it is an interactive decision-tree web tool built with Streamlit in which users step through their study type, environmental matrix (drinking water, sediment, biota, air, food, soil, and others), and workflow step (sampling, extraction, analytical identification, QA/QC, reporting) to retrieve a curated, ranked list of references drawn from a crosswalk of seminal sources; results are grouped by a four-tier authority hierarchy and include document type, key notes, and direct links, with CSV export, full-text search, an interactive visual decision tree, and a domain glossary. </w:t>
      </w:r>
      <w:hyperlink r:id="rId7">
        <w:r w:rsidRPr="008909C8">
          <w:rPr>
            <w:rFonts w:ascii="Times New Roman" w:hAnsi="Times New Roman" w:cs="Times New Roman"/>
            <w:b/>
            <w:color w:val="auto"/>
            <w:position w:val="7"/>
            <w:sz w:val="18"/>
            <w:szCs w:val="18"/>
          </w:rPr>
          <w:t>1</w:t>
        </w:r>
      </w:hyperlink>
    </w:p>
    <w:p w14:paraId="4C339991" w14:textId="6F3C0D92"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 xml:space="preserve">The tool is a </w:t>
      </w:r>
      <w:r w:rsidRPr="008909C8">
        <w:rPr>
          <w:rFonts w:ascii="Times New Roman" w:hAnsi="Times New Roman" w:cs="Times New Roman"/>
          <w:i/>
          <w:color w:val="auto"/>
        </w:rPr>
        <w:t>navigational and prioritization</w:t>
      </w:r>
      <w:r w:rsidRPr="008909C8">
        <w:rPr>
          <w:rFonts w:ascii="Times New Roman" w:hAnsi="Times New Roman" w:cs="Times New Roman"/>
          <w:color w:val="auto"/>
        </w:rPr>
        <w:t xml:space="preserve"> layer over the existing literature; it does not restate protocols but points users to the primary resource best suited to their study type, matrix, and workflow step, together with an explicit indication of that resource's authority. It is designed to complement </w:t>
      </w:r>
      <w:r w:rsidR="00F045F9">
        <w:rPr>
          <w:rFonts w:ascii="Times New Roman" w:hAnsi="Times New Roman" w:cs="Times New Roman"/>
          <w:color w:val="auto"/>
        </w:rPr>
        <w:t>-</w:t>
      </w:r>
      <w:r w:rsidRPr="008909C8">
        <w:rPr>
          <w:rFonts w:ascii="Times New Roman" w:hAnsi="Times New Roman" w:cs="Times New Roman"/>
          <w:color w:val="auto"/>
        </w:rPr>
        <w:t xml:space="preserve"> not duplicate </w:t>
      </w:r>
      <w:r w:rsidR="00F045F9">
        <w:rPr>
          <w:rFonts w:ascii="Times New Roman" w:hAnsi="Times New Roman" w:cs="Times New Roman"/>
          <w:color w:val="auto"/>
        </w:rPr>
        <w:t>-</w:t>
      </w:r>
      <w:r w:rsidRPr="008909C8">
        <w:rPr>
          <w:rFonts w:ascii="Times New Roman" w:hAnsi="Times New Roman" w:cs="Times New Roman"/>
          <w:color w:val="auto"/>
        </w:rPr>
        <w:t xml:space="preserve"> existing reporting-guideline resources such as detailed reporting documents, checklists, and mind maps that already exist in the field. Prior harmonization efforts packaged reporting guidance into three documents </w:t>
      </w:r>
      <w:r w:rsidR="00F045F9">
        <w:rPr>
          <w:rFonts w:ascii="Times New Roman" w:hAnsi="Times New Roman" w:cs="Times New Roman"/>
          <w:color w:val="auto"/>
        </w:rPr>
        <w:t>-</w:t>
      </w:r>
      <w:r w:rsidRPr="008909C8">
        <w:rPr>
          <w:rFonts w:ascii="Times New Roman" w:hAnsi="Times New Roman" w:cs="Times New Roman"/>
          <w:color w:val="auto"/>
        </w:rPr>
        <w:t xml:space="preserve"> a detailed document, a checklist, and an online mind map </w:t>
      </w:r>
      <w:r w:rsidR="00F045F9">
        <w:rPr>
          <w:rFonts w:ascii="Times New Roman" w:hAnsi="Times New Roman" w:cs="Times New Roman"/>
          <w:color w:val="auto"/>
        </w:rPr>
        <w:t>-</w:t>
      </w:r>
      <w:r w:rsidRPr="008909C8">
        <w:rPr>
          <w:rFonts w:ascii="Times New Roman" w:hAnsi="Times New Roman" w:cs="Times New Roman"/>
          <w:color w:val="auto"/>
        </w:rPr>
        <w:t xml:space="preserve"> to support annotation, dissemination, interpretation, review, and synthesis of microplastic research. </w:t>
      </w:r>
      <w:r w:rsidRPr="00F045F9">
        <w:rPr>
          <w:rFonts w:ascii="Times New Roman" w:hAnsi="Times New Roman" w:cs="Times New Roman"/>
          <w:i/>
          <w:iCs/>
          <w:color w:val="auto"/>
        </w:rPr>
        <w:t>MNP Compass</w:t>
      </w:r>
      <w:r w:rsidRPr="008909C8">
        <w:rPr>
          <w:rFonts w:ascii="Times New Roman" w:hAnsi="Times New Roman" w:cs="Times New Roman"/>
          <w:color w:val="auto"/>
        </w:rPr>
        <w:t xml:space="preserve"> differs in that it organizes a broader, cross-disciplinary body of methods and standards and ranks each by formal authority.</w:t>
      </w:r>
    </w:p>
    <w:p w14:paraId="7297393F"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S2. Application architecture and technical stack</w:t>
      </w:r>
    </w:p>
    <w:p w14:paraId="2E7C2378" w14:textId="42A8A1DF" w:rsidR="000C2C37" w:rsidRPr="008909C8" w:rsidRDefault="00000000">
      <w:pPr>
        <w:rPr>
          <w:rFonts w:ascii="Times New Roman" w:hAnsi="Times New Roman" w:cs="Times New Roman"/>
          <w:color w:val="auto"/>
        </w:rPr>
      </w:pPr>
      <w:r w:rsidRPr="00F045F9">
        <w:rPr>
          <w:rFonts w:ascii="Times New Roman" w:hAnsi="Times New Roman" w:cs="Times New Roman"/>
          <w:i/>
          <w:iCs/>
          <w:color w:val="auto"/>
        </w:rPr>
        <w:t>MNP Compass</w:t>
      </w:r>
      <w:r w:rsidRPr="008909C8">
        <w:rPr>
          <w:rFonts w:ascii="Times New Roman" w:hAnsi="Times New Roman" w:cs="Times New Roman"/>
          <w:color w:val="auto"/>
        </w:rPr>
        <w:t xml:space="preserve"> is implemented as a Python/Streamlit application with a small, transparent dependency footprint. Its runtime dependencies are Streamlit, Pandas, OpenPyXL, PyYAML, and Graphviz; the entry point is mnp_compass/app.py; the tabs directory contains renderers for the visual decision tree, crosswalk browser, glossary, and citation/license pages; the decision-tree structure and gap notes are stored in mnp_compass/config/tree_structure.yaml; and a maintenance script (scripts/fill_crosswalk_metadata.py) enriches reference metadata.</w:t>
      </w:r>
    </w:p>
    <w:p w14:paraId="6B69768D" w14:textId="4DDEB3CA"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The application separates content from code. The reference database is held in a spreadsheet that the application reads but does not modify: the primary data source is mnp_compass/data/crosswalk.xlsx, containing the "Crosswalk Table" sheet the app reads, and a metadata_cache directory stores cache and audit files for the metadata workflow. This design means the reference database can be reviewed, edited, and version-controlled independently of the interface.</w:t>
      </w:r>
    </w:p>
    <w:p w14:paraId="47F5F5C2" w14:textId="7B020E62"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When the optional step-by-step navigator is disabled (the default), the interface presents five tabs. These are Decision Tree (visual decision tree), Crosswalk (full reference table), Search All References (full-text search), Glossary, and About.</w:t>
      </w:r>
    </w:p>
    <w:p w14:paraId="41E1FB1A" w14:textId="1CFEAC60"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The application and its data are openly licensed for reuse and extension. The code, the crosswalk data, and the decision-tree content are all released under the GNU Affero General Public License v3.0 (AGPL-3.0).</w:t>
      </w:r>
    </w:p>
    <w:p w14:paraId="156AF64E"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S3. Data provenance and crosswalk construction</w:t>
      </w:r>
    </w:p>
    <w:p w14:paraId="4377CA5B" w14:textId="77777777" w:rsidR="000C2C37" w:rsidRPr="008909C8" w:rsidRDefault="00000000">
      <w:pPr>
        <w:pStyle w:val="Heading3"/>
        <w:rPr>
          <w:rFonts w:ascii="Times New Roman" w:hAnsi="Times New Roman" w:cs="Times New Roman"/>
          <w:color w:val="auto"/>
        </w:rPr>
      </w:pPr>
      <w:r w:rsidRPr="008909C8">
        <w:rPr>
          <w:rFonts w:ascii="Times New Roman" w:hAnsi="Times New Roman" w:cs="Times New Roman"/>
          <w:color w:val="auto"/>
        </w:rPr>
        <w:t>S3.1 Reference identification and screening</w:t>
      </w:r>
    </w:p>
    <w:p w14:paraId="659ACB7D" w14:textId="30014B3D"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 xml:space="preserve">The reference set was assembled from the synthesis of best-practice and QA/QC publications underpinning this manuscript together with the author team's domain expertise across ecotoxicology, human-health toxicology, analytical chemistry, environmental monitoring, and risk assessment. References were selected for </w:t>
      </w:r>
      <w:r w:rsidRPr="008909C8">
        <w:rPr>
          <w:rFonts w:ascii="Times New Roman" w:hAnsi="Times New Roman" w:cs="Times New Roman"/>
          <w:color w:val="auto"/>
        </w:rPr>
        <w:lastRenderedPageBreak/>
        <w:t>their value as methods, standards, guidance, or critical/evidence-synthesis reviews relevant to specific points in an MNP research workflow, and were mapped to the decision-tree structure (Section S4) so that each is retrievable at the workflow step(s) where it applies. The crosswalk integrates a large curated set of seminal sources</w:t>
      </w:r>
      <w:r w:rsidR="00902C5B">
        <w:rPr>
          <w:rFonts w:ascii="Times New Roman" w:hAnsi="Times New Roman" w:cs="Times New Roman"/>
          <w:color w:val="auto"/>
        </w:rPr>
        <w:t xml:space="preserve"> (</w:t>
      </w:r>
      <w:r w:rsidR="003A0D0C" w:rsidRPr="003A0D0C">
        <w:rPr>
          <w:rFonts w:ascii="Times New Roman" w:hAnsi="Times New Roman" w:cs="Times New Roman"/>
          <w:bCs/>
          <w:color w:val="auto"/>
        </w:rPr>
        <w:t>190</w:t>
      </w:r>
      <w:r w:rsidRPr="008909C8">
        <w:rPr>
          <w:rFonts w:ascii="Times New Roman" w:hAnsi="Times New Roman" w:cs="Times New Roman"/>
          <w:color w:val="auto"/>
        </w:rPr>
        <w:t xml:space="preserve"> references</w:t>
      </w:r>
      <w:r w:rsidR="00902C5B">
        <w:rPr>
          <w:rFonts w:ascii="Times New Roman" w:hAnsi="Times New Roman" w:cs="Times New Roman"/>
          <w:color w:val="auto"/>
        </w:rPr>
        <w:t xml:space="preserve"> at time of submission of this manuscript)</w:t>
      </w:r>
      <w:r w:rsidRPr="008909C8">
        <w:rPr>
          <w:rFonts w:ascii="Times New Roman" w:hAnsi="Times New Roman" w:cs="Times New Roman"/>
          <w:color w:val="auto"/>
        </w:rPr>
        <w:t xml:space="preserve">. </w:t>
      </w:r>
    </w:p>
    <w:p w14:paraId="7E7D70B8" w14:textId="77777777" w:rsidR="000C2C37" w:rsidRPr="008909C8" w:rsidRDefault="00000000">
      <w:pPr>
        <w:pStyle w:val="Heading3"/>
        <w:rPr>
          <w:rFonts w:ascii="Times New Roman" w:hAnsi="Times New Roman" w:cs="Times New Roman"/>
          <w:color w:val="auto"/>
        </w:rPr>
      </w:pPr>
      <w:r w:rsidRPr="008909C8">
        <w:rPr>
          <w:rFonts w:ascii="Times New Roman" w:hAnsi="Times New Roman" w:cs="Times New Roman"/>
          <w:color w:val="auto"/>
        </w:rPr>
        <w:t>S3.2 Metadata fields captured per reference</w:t>
      </w:r>
    </w:p>
    <w:p w14:paraId="2D5A3BC8" w14:textId="77777777"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Each reference in the crosswalk is annotated with a consistent set of fields that drive display, filtering, ranking, and search. The fields read and displayed by the application include the following.</w:t>
      </w:r>
    </w:p>
    <w:p w14:paraId="79B421B9" w14:textId="77777777" w:rsidR="000C2C37" w:rsidRPr="008909C8" w:rsidRDefault="000C2C37">
      <w:pPr>
        <w:spacing w:before="120" w:after="0" w:line="20" w:lineRule="exact"/>
        <w:rPr>
          <w:rFonts w:ascii="Times New Roman" w:hAnsi="Times New Roman" w:cs="Times New Roman"/>
          <w:color w:val="auto"/>
        </w:rPr>
      </w:pPr>
    </w:p>
    <w:tbl>
      <w:tblPr>
        <w:tblW w:w="5000" w:type="pct"/>
        <w:tblBorders>
          <w:top w:val="single" w:sz="4" w:space="0" w:color="D0D3D7"/>
          <w:left w:val="single" w:sz="4" w:space="0" w:color="D0D3D7"/>
          <w:bottom w:val="single" w:sz="4" w:space="0" w:color="D0D3D7"/>
          <w:right w:val="single" w:sz="4" w:space="0" w:color="D0D3D7"/>
          <w:insideH w:val="single" w:sz="4" w:space="0" w:color="D0D3D7"/>
          <w:insideV w:val="single" w:sz="4" w:space="0" w:color="D0D3D7"/>
        </w:tblBorders>
        <w:tblCellMar>
          <w:top w:w="60" w:type="dxa"/>
          <w:bottom w:w="60" w:type="dxa"/>
        </w:tblCellMar>
        <w:tblLook w:val="04A0" w:firstRow="1" w:lastRow="0" w:firstColumn="1" w:lastColumn="0" w:noHBand="0" w:noVBand="1"/>
      </w:tblPr>
      <w:tblGrid>
        <w:gridCol w:w="4674"/>
        <w:gridCol w:w="4676"/>
      </w:tblGrid>
      <w:tr w:rsidR="000C2C37" w:rsidRPr="008909C8" w14:paraId="032BA4DA" w14:textId="77777777">
        <w:trPr>
          <w:cantSplit/>
          <w:tblHeader/>
        </w:trPr>
        <w:tc>
          <w:tcPr>
            <w:tcW w:w="4680" w:type="dxa"/>
            <w:shd w:val="clear" w:color="auto" w:fill="1F5132"/>
          </w:tcPr>
          <w:p w14:paraId="0E7EADA5" w14:textId="77777777" w:rsidR="000C2C37" w:rsidRPr="008909C8" w:rsidRDefault="00000000">
            <w:pPr>
              <w:pStyle w:val="TableHeader"/>
              <w:keepNext/>
              <w:rPr>
                <w:rFonts w:ascii="Times New Roman" w:hAnsi="Times New Roman" w:cs="Times New Roman"/>
                <w:color w:val="auto"/>
              </w:rPr>
            </w:pPr>
            <w:r w:rsidRPr="008909C8">
              <w:rPr>
                <w:rFonts w:ascii="Times New Roman" w:hAnsi="Times New Roman" w:cs="Times New Roman"/>
                <w:color w:val="auto"/>
              </w:rPr>
              <w:t>Field</w:t>
            </w:r>
          </w:p>
        </w:tc>
        <w:tc>
          <w:tcPr>
            <w:tcW w:w="4680" w:type="dxa"/>
            <w:shd w:val="clear" w:color="auto" w:fill="1F5132"/>
          </w:tcPr>
          <w:p w14:paraId="2CD85B19" w14:textId="77777777" w:rsidR="000C2C37" w:rsidRPr="008909C8" w:rsidRDefault="00000000">
            <w:pPr>
              <w:pStyle w:val="TableHeader"/>
              <w:keepNext/>
              <w:rPr>
                <w:rFonts w:ascii="Times New Roman" w:hAnsi="Times New Roman" w:cs="Times New Roman"/>
                <w:color w:val="auto"/>
              </w:rPr>
            </w:pPr>
            <w:r w:rsidRPr="008909C8">
              <w:rPr>
                <w:rFonts w:ascii="Times New Roman" w:hAnsi="Times New Roman" w:cs="Times New Roman"/>
                <w:color w:val="auto"/>
              </w:rPr>
              <w:t>Role in the tool</w:t>
            </w:r>
          </w:p>
        </w:tc>
      </w:tr>
      <w:tr w:rsidR="000C2C37" w:rsidRPr="008909C8" w14:paraId="718321E5" w14:textId="77777777">
        <w:trPr>
          <w:cantSplit/>
        </w:trPr>
        <w:tc>
          <w:tcPr>
            <w:tcW w:w="4680" w:type="dxa"/>
          </w:tcPr>
          <w:p w14:paraId="3C5FFFB6"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Priority Tier (displayed as "Authority and Validation Tier")</w:t>
            </w:r>
          </w:p>
        </w:tc>
        <w:tc>
          <w:tcPr>
            <w:tcW w:w="4680" w:type="dxa"/>
          </w:tcPr>
          <w:p w14:paraId="49E1ABA8"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Authority ranking (1–4); primary sort and grouping key</w:t>
            </w:r>
          </w:p>
        </w:tc>
      </w:tr>
      <w:tr w:rsidR="000C2C37" w:rsidRPr="008909C8" w14:paraId="7F567613" w14:textId="77777777">
        <w:trPr>
          <w:cantSplit/>
        </w:trPr>
        <w:tc>
          <w:tcPr>
            <w:tcW w:w="4680" w:type="dxa"/>
          </w:tcPr>
          <w:p w14:paraId="4EB8548A"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Primary Domain</w:t>
            </w:r>
          </w:p>
        </w:tc>
        <w:tc>
          <w:tcPr>
            <w:tcW w:w="4680" w:type="dxa"/>
          </w:tcPr>
          <w:p w14:paraId="108FFFD6"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Monitoring, Toxicology, Both, or Cross-cutting; filter facet</w:t>
            </w:r>
          </w:p>
        </w:tc>
      </w:tr>
      <w:tr w:rsidR="000C2C37" w:rsidRPr="008909C8" w14:paraId="3C99DA14" w14:textId="77777777">
        <w:trPr>
          <w:cantSplit/>
        </w:trPr>
        <w:tc>
          <w:tcPr>
            <w:tcW w:w="4680" w:type="dxa"/>
          </w:tcPr>
          <w:p w14:paraId="32FCC617"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Document Type</w:t>
            </w:r>
          </w:p>
        </w:tc>
        <w:tc>
          <w:tcPr>
            <w:tcW w:w="4680" w:type="dxa"/>
          </w:tcPr>
          <w:p w14:paraId="26483EB1"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e.g., standard, SOP, guidance, review; filter facet</w:t>
            </w:r>
          </w:p>
        </w:tc>
      </w:tr>
      <w:tr w:rsidR="000C2C37" w:rsidRPr="008909C8" w14:paraId="0DA869A9" w14:textId="77777777">
        <w:trPr>
          <w:cantSplit/>
        </w:trPr>
        <w:tc>
          <w:tcPr>
            <w:tcW w:w="4680" w:type="dxa"/>
          </w:tcPr>
          <w:p w14:paraId="754FF992"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Short Citation</w:t>
            </w:r>
          </w:p>
        </w:tc>
        <w:tc>
          <w:tcPr>
            <w:tcW w:w="4680" w:type="dxa"/>
          </w:tcPr>
          <w:p w14:paraId="18263ABF"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Compact reference label; searchable</w:t>
            </w:r>
          </w:p>
        </w:tc>
      </w:tr>
      <w:tr w:rsidR="000C2C37" w:rsidRPr="008909C8" w14:paraId="7A7EE8E4" w14:textId="77777777">
        <w:trPr>
          <w:cantSplit/>
        </w:trPr>
        <w:tc>
          <w:tcPr>
            <w:tcW w:w="4680" w:type="dxa"/>
          </w:tcPr>
          <w:p w14:paraId="10EA3BAF"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Full Title</w:t>
            </w:r>
          </w:p>
        </w:tc>
        <w:tc>
          <w:tcPr>
            <w:tcW w:w="4680" w:type="dxa"/>
          </w:tcPr>
          <w:p w14:paraId="05006066"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Full reference title; searchable</w:t>
            </w:r>
          </w:p>
        </w:tc>
      </w:tr>
      <w:tr w:rsidR="000C2C37" w:rsidRPr="008909C8" w14:paraId="1B3C5BA9" w14:textId="77777777">
        <w:trPr>
          <w:cantSplit/>
        </w:trPr>
        <w:tc>
          <w:tcPr>
            <w:tcW w:w="4680" w:type="dxa"/>
          </w:tcPr>
          <w:p w14:paraId="71B969BD"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Year</w:t>
            </w:r>
          </w:p>
        </w:tc>
        <w:tc>
          <w:tcPr>
            <w:tcW w:w="4680" w:type="dxa"/>
          </w:tcPr>
          <w:p w14:paraId="711A5BB0"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Secondary sort (descending); range-slider filter</w:t>
            </w:r>
          </w:p>
        </w:tc>
      </w:tr>
      <w:tr w:rsidR="000C2C37" w:rsidRPr="008909C8" w14:paraId="74A07C9F" w14:textId="77777777">
        <w:trPr>
          <w:cantSplit/>
        </w:trPr>
        <w:tc>
          <w:tcPr>
            <w:tcW w:w="4680" w:type="dxa"/>
          </w:tcPr>
          <w:p w14:paraId="75952B72"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Key Notes</w:t>
            </w:r>
          </w:p>
        </w:tc>
        <w:tc>
          <w:tcPr>
            <w:tcW w:w="4680" w:type="dxa"/>
          </w:tcPr>
          <w:p w14:paraId="76B0B86F"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Curator note on applicability/scope; searchable</w:t>
            </w:r>
          </w:p>
        </w:tc>
      </w:tr>
      <w:tr w:rsidR="000C2C37" w:rsidRPr="008909C8" w14:paraId="18F027AE" w14:textId="77777777">
        <w:trPr>
          <w:cantSplit/>
        </w:trPr>
        <w:tc>
          <w:tcPr>
            <w:tcW w:w="4680" w:type="dxa"/>
          </w:tcPr>
          <w:p w14:paraId="4BD9DB2B"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Abstract</w:t>
            </w:r>
          </w:p>
        </w:tc>
        <w:tc>
          <w:tcPr>
            <w:tcW w:w="4680" w:type="dxa"/>
          </w:tcPr>
          <w:p w14:paraId="7FB9E0C0"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Reference abstract; searchable</w:t>
            </w:r>
          </w:p>
        </w:tc>
      </w:tr>
      <w:tr w:rsidR="000C2C37" w:rsidRPr="008909C8" w14:paraId="5108A1CF" w14:textId="77777777">
        <w:trPr>
          <w:cantSplit/>
        </w:trPr>
        <w:tc>
          <w:tcPr>
            <w:tcW w:w="4680" w:type="dxa"/>
          </w:tcPr>
          <w:p w14:paraId="502EF07D"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Key Metrics / Output</w:t>
            </w:r>
          </w:p>
        </w:tc>
        <w:tc>
          <w:tcPr>
            <w:tcW w:w="4680" w:type="dxa"/>
          </w:tcPr>
          <w:p w14:paraId="33CCC0AE"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What the reference yields (e.g., metrics, thresholds); searchable</w:t>
            </w:r>
          </w:p>
        </w:tc>
      </w:tr>
      <w:tr w:rsidR="000C2C37" w:rsidRPr="008909C8" w14:paraId="018AC671" w14:textId="77777777">
        <w:trPr>
          <w:cantSplit/>
        </w:trPr>
        <w:tc>
          <w:tcPr>
            <w:tcW w:w="4680" w:type="dxa"/>
          </w:tcPr>
          <w:p w14:paraId="533470CB"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Particle Size Range</w:t>
            </w:r>
          </w:p>
        </w:tc>
        <w:tc>
          <w:tcPr>
            <w:tcW w:w="4680" w:type="dxa"/>
          </w:tcPr>
          <w:p w14:paraId="1DD7F97C"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Applicable size domain; searchable</w:t>
            </w:r>
          </w:p>
        </w:tc>
      </w:tr>
      <w:tr w:rsidR="000C2C37" w:rsidRPr="008909C8" w14:paraId="47DEF2CF" w14:textId="77777777">
        <w:trPr>
          <w:cantSplit/>
        </w:trPr>
        <w:tc>
          <w:tcPr>
            <w:tcW w:w="4680" w:type="dxa"/>
          </w:tcPr>
          <w:p w14:paraId="43EB9FF6"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Instrumentation Tags</w:t>
            </w:r>
          </w:p>
        </w:tc>
        <w:tc>
          <w:tcPr>
            <w:tcW w:w="4680" w:type="dxa"/>
          </w:tcPr>
          <w:p w14:paraId="41648213"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Analytical technique(s) covered; filter facet</w:t>
            </w:r>
          </w:p>
        </w:tc>
      </w:tr>
      <w:tr w:rsidR="000C2C37" w:rsidRPr="008909C8" w14:paraId="7A3BABBB" w14:textId="77777777">
        <w:trPr>
          <w:cantSplit/>
        </w:trPr>
        <w:tc>
          <w:tcPr>
            <w:tcW w:w="4680" w:type="dxa"/>
          </w:tcPr>
          <w:p w14:paraId="4F15DC38"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Matrix Tags</w:t>
            </w:r>
          </w:p>
        </w:tc>
        <w:tc>
          <w:tcPr>
            <w:tcW w:w="4680" w:type="dxa"/>
          </w:tcPr>
          <w:p w14:paraId="14AE3533" w14:textId="77777777" w:rsidR="000C2C37" w:rsidRPr="008909C8" w:rsidRDefault="00000000">
            <w:pPr>
              <w:pStyle w:val="TableBody"/>
              <w:keepNext/>
              <w:rPr>
                <w:rFonts w:ascii="Times New Roman" w:hAnsi="Times New Roman" w:cs="Times New Roman"/>
                <w:color w:val="auto"/>
              </w:rPr>
            </w:pPr>
            <w:r w:rsidRPr="008909C8">
              <w:rPr>
                <w:rFonts w:ascii="Times New Roman" w:hAnsi="Times New Roman" w:cs="Times New Roman"/>
                <w:color w:val="auto"/>
              </w:rPr>
              <w:t>Environmental/biological matrix; filter facet</w:t>
            </w:r>
          </w:p>
        </w:tc>
      </w:tr>
      <w:tr w:rsidR="000C2C37" w:rsidRPr="008909C8" w14:paraId="29395350" w14:textId="77777777">
        <w:trPr>
          <w:cantSplit/>
        </w:trPr>
        <w:tc>
          <w:tcPr>
            <w:tcW w:w="4680" w:type="dxa"/>
          </w:tcPr>
          <w:p w14:paraId="5E382CB4" w14:textId="77777777" w:rsidR="000C2C37" w:rsidRPr="008909C8" w:rsidRDefault="00000000">
            <w:pPr>
              <w:pStyle w:val="TableBody"/>
              <w:rPr>
                <w:rFonts w:ascii="Times New Roman" w:hAnsi="Times New Roman" w:cs="Times New Roman"/>
                <w:color w:val="auto"/>
              </w:rPr>
            </w:pPr>
            <w:r w:rsidRPr="008909C8">
              <w:rPr>
                <w:rFonts w:ascii="Times New Roman" w:hAnsi="Times New Roman" w:cs="Times New Roman"/>
                <w:color w:val="auto"/>
              </w:rPr>
              <w:t>DOI/URL</w:t>
            </w:r>
          </w:p>
        </w:tc>
        <w:tc>
          <w:tcPr>
            <w:tcW w:w="4680" w:type="dxa"/>
          </w:tcPr>
          <w:p w14:paraId="2C17D454" w14:textId="77777777" w:rsidR="000C2C37" w:rsidRPr="008909C8" w:rsidRDefault="00000000">
            <w:pPr>
              <w:pStyle w:val="TableBody"/>
              <w:rPr>
                <w:rFonts w:ascii="Times New Roman" w:hAnsi="Times New Roman" w:cs="Times New Roman"/>
                <w:color w:val="auto"/>
              </w:rPr>
            </w:pPr>
            <w:r w:rsidRPr="008909C8">
              <w:rPr>
                <w:rFonts w:ascii="Times New Roman" w:hAnsi="Times New Roman" w:cs="Times New Roman"/>
                <w:color w:val="auto"/>
              </w:rPr>
              <w:t>Direct link ("Open Link")</w:t>
            </w:r>
          </w:p>
        </w:tc>
      </w:tr>
    </w:tbl>
    <w:p w14:paraId="173DF1C4" w14:textId="77777777" w:rsidR="000C2C37" w:rsidRPr="008909C8" w:rsidRDefault="000C2C37">
      <w:pPr>
        <w:spacing w:after="120" w:line="20" w:lineRule="exact"/>
        <w:rPr>
          <w:rFonts w:ascii="Times New Roman" w:hAnsi="Times New Roman" w:cs="Times New Roman"/>
          <w:color w:val="auto"/>
        </w:rPr>
      </w:pPr>
    </w:p>
    <w:p w14:paraId="3E70AD8B" w14:textId="39FA7CDD"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 xml:space="preserve">The app reads these columns from the "Crosswalk Table" sheet, including Priority Tier (renamed to "Authority and Validation Tier"), Primary Domain, Document Type, Short Citation, Full Title, Key Notes, Abstract, Key Metrics / Output, Particle Size Range, DOI/URL, and Year. The crosswalk browser displays Short Citation, Year, Primary Domain, Document Type, Authority and Validation Tier, Instrumentation Tags, Matrix Tags, Key Notes, and an Open Link, and shows both filtered and total reference counts. Two additional workflow/status fields support maintenance: a "PDF Available in Zotero?" boolean flag and a "Reviewed" status column tracking processing completion. </w:t>
      </w:r>
    </w:p>
    <w:p w14:paraId="31B03F83"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S4. Decision-tree structure</w:t>
      </w:r>
    </w:p>
    <w:p w14:paraId="51815104" w14:textId="49E25F37"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 xml:space="preserve">Users reach recommendations by navigating a documented decision tree. The root node presents three primary branches: Environmental Monitoring (sampling, analysis, and detection in environmental or human matrices), </w:t>
      </w:r>
      <w:r w:rsidRPr="008909C8">
        <w:rPr>
          <w:rFonts w:ascii="Times New Roman" w:hAnsi="Times New Roman" w:cs="Times New Roman"/>
          <w:color w:val="auto"/>
        </w:rPr>
        <w:lastRenderedPageBreak/>
        <w:t xml:space="preserve">Toxicology / Effects Testing (designing or evaluating studies on biological effects), and Risk Assessment (hazard identification, exposure assessment, or risk characterization). </w:t>
      </w:r>
    </w:p>
    <w:p w14:paraId="690DEAC8" w14:textId="5A23B289"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Monitoring branch.</w:t>
      </w:r>
      <w:r w:rsidRPr="008909C8">
        <w:rPr>
          <w:rFonts w:ascii="Times New Roman" w:hAnsi="Times New Roman" w:cs="Times New Roman"/>
          <w:color w:val="auto"/>
        </w:rPr>
        <w:t xml:space="preserve"> After selecting Environmental Monitoring, users choose among eight matrices </w:t>
      </w:r>
      <w:r w:rsidR="004F1269">
        <w:rPr>
          <w:rFonts w:ascii="Times New Roman" w:hAnsi="Times New Roman" w:cs="Times New Roman"/>
          <w:color w:val="auto"/>
        </w:rPr>
        <w:t>-</w:t>
      </w:r>
      <w:r w:rsidRPr="008909C8">
        <w:rPr>
          <w:rFonts w:ascii="Times New Roman" w:hAnsi="Times New Roman" w:cs="Times New Roman"/>
          <w:color w:val="auto"/>
        </w:rPr>
        <w:t xml:space="preserve"> Drinking Water, Surface Water/Wastewater, Sediment, Biota/Tissue, Air/Atmospheric Deposition, Food/Dietary, Human Tissue/Biomonitoring, and Soil/Terrestrial </w:t>
      </w:r>
      <w:r w:rsidR="004F1269">
        <w:rPr>
          <w:rFonts w:ascii="Times New Roman" w:hAnsi="Times New Roman" w:cs="Times New Roman"/>
          <w:color w:val="auto"/>
        </w:rPr>
        <w:t>-</w:t>
      </w:r>
      <w:r w:rsidRPr="008909C8">
        <w:rPr>
          <w:rFonts w:ascii="Times New Roman" w:hAnsi="Times New Roman" w:cs="Times New Roman"/>
          <w:color w:val="auto"/>
        </w:rPr>
        <w:t xml:space="preserve"> and then one of nine workflow steps: Definitions &amp; Terminology, Sampling/Field Methods, Sample Processing/Extraction, Analytical Identification, Material Standards/Positive Controls, Blanks &amp; Contamination Control, Data Analysis &amp; Statistics, Reporting &amp; Data Deposition, and Interlaboratory/Validation. The Analytical Identification step branches to an instrumentation selector offering µFTIR/FPA-FTIR/LDIR, µRaman, Py-GC-MS, TED-GC-MS, Nile Red/fluorescence screening, visual/stereomicroscopy, and a "compare all techniques" overview. </w:t>
      </w:r>
    </w:p>
    <w:p w14:paraId="55F4DCD0" w14:textId="15E448C1"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Toxicology branch.</w:t>
      </w:r>
      <w:r w:rsidRPr="008909C8">
        <w:rPr>
          <w:rFonts w:ascii="Times New Roman" w:hAnsi="Times New Roman" w:cs="Times New Roman"/>
          <w:color w:val="auto"/>
        </w:rPr>
        <w:t xml:space="preserve"> Users navigate five toxicology steps </w:t>
      </w:r>
      <w:r w:rsidR="004F1269">
        <w:rPr>
          <w:rFonts w:ascii="Times New Roman" w:hAnsi="Times New Roman" w:cs="Times New Roman"/>
          <w:color w:val="auto"/>
        </w:rPr>
        <w:t>-</w:t>
      </w:r>
      <w:r w:rsidRPr="008909C8">
        <w:rPr>
          <w:rFonts w:ascii="Times New Roman" w:hAnsi="Times New Roman" w:cs="Times New Roman"/>
          <w:color w:val="auto"/>
        </w:rPr>
        <w:t xml:space="preserve"> Particle Characterization, Dosimetry (</w:t>
      </w:r>
      <w:r w:rsidRPr="004F1269">
        <w:rPr>
          <w:rFonts w:ascii="Times New Roman" w:hAnsi="Times New Roman" w:cs="Times New Roman"/>
          <w:i/>
          <w:iCs/>
          <w:color w:val="auto"/>
        </w:rPr>
        <w:t>in vitro</w:t>
      </w:r>
      <w:r w:rsidRPr="008909C8">
        <w:rPr>
          <w:rFonts w:ascii="Times New Roman" w:hAnsi="Times New Roman" w:cs="Times New Roman"/>
          <w:color w:val="auto"/>
        </w:rPr>
        <w:t xml:space="preserve">), Effects Testing, Study Quality/Scoring, and Reporting </w:t>
      </w:r>
      <w:r w:rsidR="004F1269">
        <w:rPr>
          <w:rFonts w:ascii="Times New Roman" w:hAnsi="Times New Roman" w:cs="Times New Roman"/>
          <w:color w:val="auto"/>
        </w:rPr>
        <w:t>-</w:t>
      </w:r>
      <w:r w:rsidRPr="008909C8">
        <w:rPr>
          <w:rFonts w:ascii="Times New Roman" w:hAnsi="Times New Roman" w:cs="Times New Roman"/>
          <w:color w:val="auto"/>
        </w:rPr>
        <w:t xml:space="preserve"> with the Effects Testing step sub-branching to five test systems: in vitro (cell-based), aquatic ecotoxicology, terrestrial ecotoxicology, mammalian in vivo, and human/epidemiological. </w:t>
      </w:r>
    </w:p>
    <w:p w14:paraId="2DC7EF74" w14:textId="017A816C"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Risk Assessment branch.</w:t>
      </w:r>
      <w:r w:rsidRPr="008909C8">
        <w:rPr>
          <w:rFonts w:ascii="Times New Roman" w:hAnsi="Times New Roman" w:cs="Times New Roman"/>
          <w:color w:val="auto"/>
        </w:rPr>
        <w:t xml:space="preserve"> This branch offers four components: RA frameworks and approaches, hazard identification, exposure assessment, and risk characterization. </w:t>
      </w:r>
    </w:p>
    <w:p w14:paraId="6A3A1173" w14:textId="53C3AFD3"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Documented gaps.</w:t>
      </w:r>
      <w:r w:rsidRPr="008909C8">
        <w:rPr>
          <w:rFonts w:ascii="Times New Roman" w:hAnsi="Times New Roman" w:cs="Times New Roman"/>
          <w:color w:val="auto"/>
        </w:rPr>
        <w:t xml:space="preserve"> A distinguishing feature is that the tree records where authoritative resources do </w:t>
      </w:r>
      <w:r w:rsidRPr="008909C8">
        <w:rPr>
          <w:rFonts w:ascii="Times New Roman" w:hAnsi="Times New Roman" w:cs="Times New Roman"/>
          <w:i/>
          <w:color w:val="auto"/>
        </w:rPr>
        <w:t>not</w:t>
      </w:r>
      <w:r w:rsidRPr="008909C8">
        <w:rPr>
          <w:rFonts w:ascii="Times New Roman" w:hAnsi="Times New Roman" w:cs="Times New Roman"/>
          <w:color w:val="auto"/>
        </w:rPr>
        <w:t xml:space="preserve"> yet exist, so users are not left assuming a standard is missing from the tool rather than from the field. The configuration documents critical gaps including no Tier 1 regulatory SOP for surface-water sampling or extraction; no Tier 1/2 method for any air workflow step; no Tier 1/2 method for food; no Tier 1/2 human-tissue biomonitoring method; no Tier 1/2 soil standard; no standardized method for nanoplastics &lt;1 µm (ISO 16094-2 specifies a 20 µm minimum); no MP-specific toxicology test guidelines; and only one certified reference material (EURM-060, PET in water). </w:t>
      </w:r>
    </w:p>
    <w:p w14:paraId="50BC6096"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S5. The four-tier authority and validation framework, operationalized</w:t>
      </w:r>
    </w:p>
    <w:p w14:paraId="65D24557" w14:textId="2760090E"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Every reference carries an authority tier, and the tool uses that tier as its primary organizing principle. The four-tier framework distinguishes documents along a spectrum between a scientific paper and a legally-binding standard, and is intended to characterize the basis and strength of a resource's authority rather than the overall scientific quality, utility, or currency of the document; consequently a lower-tier resource may be more current or more applicable to a particular question than a higher-tier one.</w:t>
      </w:r>
      <w:r w:rsidR="00E61307">
        <w:rPr>
          <w:rFonts w:ascii="Times New Roman" w:hAnsi="Times New Roman" w:cs="Times New Roman"/>
          <w:color w:val="auto"/>
        </w:rPr>
        <w:t xml:space="preserve"> </w:t>
      </w:r>
      <w:r w:rsidRPr="008909C8">
        <w:rPr>
          <w:rFonts w:ascii="Times New Roman" w:hAnsi="Times New Roman" w:cs="Times New Roman"/>
          <w:color w:val="auto"/>
        </w:rPr>
        <w:t xml:space="preserve">The four tiers are defined as Tier 1 </w:t>
      </w:r>
      <w:r w:rsidR="00E61307">
        <w:rPr>
          <w:rFonts w:ascii="Times New Roman" w:hAnsi="Times New Roman" w:cs="Times New Roman"/>
          <w:color w:val="auto"/>
        </w:rPr>
        <w:t>-</w:t>
      </w:r>
      <w:r w:rsidRPr="008909C8">
        <w:rPr>
          <w:rFonts w:ascii="Times New Roman" w:hAnsi="Times New Roman" w:cs="Times New Roman"/>
          <w:color w:val="auto"/>
        </w:rPr>
        <w:t xml:space="preserve">Normative/Binding (formal legal, regulatory, or institutional mandate: legislation, regulatory decisions, and standardized methods/SOPs required for compliance, accreditation, or official monitoring); Tier 2 </w:t>
      </w:r>
      <w:r w:rsidR="00E61307">
        <w:rPr>
          <w:rFonts w:ascii="Times New Roman" w:hAnsi="Times New Roman" w:cs="Times New Roman"/>
          <w:color w:val="auto"/>
        </w:rPr>
        <w:t>-</w:t>
      </w:r>
      <w:r w:rsidRPr="008909C8">
        <w:rPr>
          <w:rFonts w:ascii="Times New Roman" w:hAnsi="Times New Roman" w:cs="Times New Roman"/>
          <w:color w:val="auto"/>
        </w:rPr>
        <w:t xml:space="preserve">Authoritative/Institutional (standards and guidance issued or endorsed by recognized bodies such as ISO, ASTM, WHO, EFSA, GESAMP, and NIST, but not themselves mandatory); Tier 3 </w:t>
      </w:r>
      <w:r w:rsidR="00E61307">
        <w:rPr>
          <w:rFonts w:ascii="Times New Roman" w:hAnsi="Times New Roman" w:cs="Times New Roman"/>
          <w:color w:val="auto"/>
        </w:rPr>
        <w:t>-</w:t>
      </w:r>
      <w:r w:rsidRPr="008909C8">
        <w:rPr>
          <w:rFonts w:ascii="Times New Roman" w:hAnsi="Times New Roman" w:cs="Times New Roman"/>
          <w:color w:val="auto"/>
        </w:rPr>
        <w:t xml:space="preserve"> Validated/Interlaboratory-Tested/Critical Guidance (methods evaluated through interlaboratory comparison, proficiency testing, or quantitative validation, and critical/systematic reviews establishing evidence-based QA/QC or performance criteria); and Tier 4 </w:t>
      </w:r>
      <w:r w:rsidR="00E61307">
        <w:rPr>
          <w:rFonts w:ascii="Times New Roman" w:hAnsi="Times New Roman" w:cs="Times New Roman"/>
          <w:color w:val="auto"/>
        </w:rPr>
        <w:t>-</w:t>
      </w:r>
      <w:r w:rsidRPr="008909C8">
        <w:rPr>
          <w:rFonts w:ascii="Times New Roman" w:hAnsi="Times New Roman" w:cs="Times New Roman"/>
          <w:color w:val="auto"/>
        </w:rPr>
        <w:t xml:space="preserve"> Supporting/Contextual (emerging or single-laboratory methods, research tools and databases, narrative reviews, perspectives, and frameworks). </w:t>
      </w:r>
    </w:p>
    <w:p w14:paraId="4EBAF531" w14:textId="2A482E1C"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How results are ordered.</w:t>
      </w:r>
      <w:r w:rsidRPr="008909C8">
        <w:rPr>
          <w:rFonts w:ascii="Times New Roman" w:hAnsi="Times New Roman" w:cs="Times New Roman"/>
          <w:color w:val="auto"/>
        </w:rPr>
        <w:t xml:space="preserve"> References are sorted by tier (Tier 1 first) then by year (descending), and are displayed grouped by tier in expandable sections, with Tiers 1–2 expanded by default. This surfaces the most authoritative, most recent resources first while keeping lower-tier context one click away.</w:t>
      </w:r>
    </w:p>
    <w:p w14:paraId="755D49CA" w14:textId="5092729D"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Tier assignment and its limitations.</w:t>
      </w:r>
      <w:r w:rsidRPr="008909C8">
        <w:rPr>
          <w:rFonts w:ascii="Times New Roman" w:hAnsi="Times New Roman" w:cs="Times New Roman"/>
          <w:color w:val="auto"/>
        </w:rPr>
        <w:t xml:space="preserve"> Tiers were assigned by a single author applying the schema above. Because the schema draws deliberately fuzzy boundaries </w:t>
      </w:r>
      <w:r w:rsidR="004C7193">
        <w:rPr>
          <w:rFonts w:ascii="Times New Roman" w:hAnsi="Times New Roman" w:cs="Times New Roman"/>
          <w:color w:val="auto"/>
        </w:rPr>
        <w:t>-</w:t>
      </w:r>
      <w:r w:rsidRPr="008909C8">
        <w:rPr>
          <w:rFonts w:ascii="Times New Roman" w:hAnsi="Times New Roman" w:cs="Times New Roman"/>
          <w:color w:val="auto"/>
        </w:rPr>
        <w:t xml:space="preserve"> a document's authority can straddle categories </w:t>
      </w:r>
      <w:r w:rsidR="004C7193">
        <w:rPr>
          <w:rFonts w:ascii="Times New Roman" w:hAnsi="Times New Roman" w:cs="Times New Roman"/>
          <w:color w:val="auto"/>
        </w:rPr>
        <w:t>-</w:t>
      </w:r>
      <w:r w:rsidRPr="008909C8">
        <w:rPr>
          <w:rFonts w:ascii="Times New Roman" w:hAnsi="Times New Roman" w:cs="Times New Roman"/>
          <w:color w:val="auto"/>
        </w:rPr>
        <w:t xml:space="preserve"> </w:t>
      </w:r>
      <w:r w:rsidRPr="008909C8">
        <w:rPr>
          <w:rFonts w:ascii="Times New Roman" w:hAnsi="Times New Roman" w:cs="Times New Roman"/>
          <w:color w:val="auto"/>
        </w:rPr>
        <w:lastRenderedPageBreak/>
        <w:t>individual assignments are interpretive and some inconsistency is expected; the tier reflects authority, not endorsement. Consistent with this, the tool explicitly frames tiers as a gradient: the classification represents a gradient from formally binding requirements to supporting scientific context rather than a numerical score of quality, and MNP Compass presents resources across tiers so users can weigh formal authority alongside methodological relevance, recency, applicability, and available resources. Users who disagree with an assignment can propose a re-tiering through the contribution workflow (Section S7).</w:t>
      </w:r>
    </w:p>
    <w:p w14:paraId="16E4C74B"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S6. Using the tool: worked examples</w:t>
      </w:r>
    </w:p>
    <w:p w14:paraId="61BE33ED" w14:textId="77777777"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The following short walkthroughs illustrate how different users reach an answer.</w:t>
      </w:r>
    </w:p>
    <w:p w14:paraId="58DB0754" w14:textId="1D43C8DB"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Use case 1 — A toxicologist designing a fish-larvae exposure study.</w:t>
      </w:r>
      <w:r w:rsidRPr="008909C8">
        <w:rPr>
          <w:rFonts w:ascii="Times New Roman" w:hAnsi="Times New Roman" w:cs="Times New Roman"/>
          <w:color w:val="auto"/>
        </w:rPr>
        <w:t xml:space="preserve"> The user selects Toxicology/Effects Testing, then the Effects Testing step and the aquatic-ecotoxicology test system, and finally Particle Characterization and Study Quality/Scoring steps. The tool returns the highest-authority available guidance first, together with critical QA/QC reviews (typically Tier 3), and flags that no MP-specific test guidelines exist and OECD test guidelines, while applicable, are not MP-validated. The user exports the ranked list as CSV to attach to a study plan.</w:t>
      </w:r>
    </w:p>
    <w:p w14:paraId="65B5017F" w14:textId="77777777"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Use case 2 — A drinking-water program selecting a monitoring method.</w:t>
      </w:r>
      <w:r w:rsidRPr="008909C8">
        <w:rPr>
          <w:rFonts w:ascii="Times New Roman" w:hAnsi="Times New Roman" w:cs="Times New Roman"/>
          <w:color w:val="auto"/>
        </w:rPr>
        <w:t xml:space="preserve"> The user selects Environmental Monitoring → Drinking Water → Analytical Identification, then picks an instrument (e.g., µRaman or Py-GC-MS) from the instrumentation selector. Because drinking water is one of the few matrices with binding methods, the results surface Tier 1 normative SOPs at the top of the list, with links to the source documents. The same path under Sample Processing/Extraction and Blanks &amp; Contamination Control retrieves the matching extraction and contamination-control resources.</w:t>
      </w:r>
    </w:p>
    <w:p w14:paraId="6C075920" w14:textId="4C7D288A"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Use case 3 — A journal editor or reviewer checking a submitted manuscript.</w:t>
      </w:r>
      <w:r w:rsidRPr="008909C8">
        <w:rPr>
          <w:rFonts w:ascii="Times New Roman" w:hAnsi="Times New Roman" w:cs="Times New Roman"/>
          <w:color w:val="auto"/>
        </w:rPr>
        <w:t xml:space="preserve"> Rather than navigate the tree, the reviewer opens the Crosswalk tab and filters by the study's Primary Domain, Matrix Tags, and Instrumentation Tags, and by Authority Tier, to see at a glance which established methods and QA/QC criteria a submission should have followed. The crosswalk browser provides filters for Authority Tier, Topic Coverage, Primary Domain, Document Type, "Has web link," Matrix Tags, Instrumentation Tags, and a Year range, plus a free-text search. </w:t>
      </w:r>
    </w:p>
    <w:p w14:paraId="70F3015B" w14:textId="77777777"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Use case 4 — A funder setting proposal or award conditions.</w:t>
      </w:r>
      <w:r w:rsidRPr="008909C8">
        <w:rPr>
          <w:rFonts w:ascii="Times New Roman" w:hAnsi="Times New Roman" w:cs="Times New Roman"/>
          <w:color w:val="auto"/>
        </w:rPr>
        <w:t xml:space="preserve"> The funder uses the same crosswalk filters to identify the Tier 1–2 standards and Tier 3 critical-guidance references relevant to a call's scope, and cites them as expected practice, using the tool as the baseline it is intended to provide for funders and editors.</w:t>
      </w:r>
    </w:p>
    <w:p w14:paraId="3587ED15" w14:textId="78890BB3"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Use case 5 — A researcher new to the field orienting quickly.</w:t>
      </w:r>
      <w:r w:rsidRPr="008909C8">
        <w:rPr>
          <w:rFonts w:ascii="Times New Roman" w:hAnsi="Times New Roman" w:cs="Times New Roman"/>
          <w:color w:val="auto"/>
        </w:rPr>
        <w:t xml:space="preserve"> The user reads the Glossary to align on definitions, browses the visual decision tree to understand the full workflow, and uses Search All References to find everything mentioning a specific term. The full-text search matches space-separated terms with AND logic across Short Citation, Full Title, Key Notes, Abstract, Key Metrics/Output, Particle Size Range, and DOI/URL, and reports how many of the total references are shown. </w:t>
      </w:r>
    </w:p>
    <w:p w14:paraId="3A9EFD32"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S7. Governance, versioning, and contribution</w:t>
      </w:r>
    </w:p>
    <w:p w14:paraId="00643458" w14:textId="5BB1BF90" w:rsidR="000C2C37" w:rsidRPr="008909C8" w:rsidRDefault="00000000">
      <w:pPr>
        <w:rPr>
          <w:rFonts w:ascii="Times New Roman" w:hAnsi="Times New Roman" w:cs="Times New Roman"/>
          <w:color w:val="auto"/>
        </w:rPr>
      </w:pPr>
      <w:r w:rsidRPr="008909C8">
        <w:rPr>
          <w:rFonts w:ascii="Times New Roman" w:hAnsi="Times New Roman" w:cs="Times New Roman"/>
          <w:color w:val="auto"/>
        </w:rPr>
        <w:t xml:space="preserve">The tool is designed to evolve with the field through an open, version-controlled workflow. The research community can suggest updates through GitHub pull requests, a dynamic capability intended to facilitate the tool's longevity as the field evolves. The full source code </w:t>
      </w:r>
      <w:r w:rsidR="004C7193">
        <w:rPr>
          <w:rFonts w:ascii="Times New Roman" w:hAnsi="Times New Roman" w:cs="Times New Roman"/>
          <w:color w:val="auto"/>
        </w:rPr>
        <w:t>-</w:t>
      </w:r>
      <w:r w:rsidRPr="008909C8">
        <w:rPr>
          <w:rFonts w:ascii="Times New Roman" w:hAnsi="Times New Roman" w:cs="Times New Roman"/>
          <w:color w:val="auto"/>
        </w:rPr>
        <w:t xml:space="preserve"> decision-tree configuration, crosswalk data, and Streamlit application</w:t>
      </w:r>
      <w:r w:rsidR="004C7193">
        <w:rPr>
          <w:rFonts w:ascii="Times New Roman" w:hAnsi="Times New Roman" w:cs="Times New Roman"/>
          <w:color w:val="auto"/>
        </w:rPr>
        <w:t xml:space="preserve"> -</w:t>
      </w:r>
      <w:r w:rsidRPr="008909C8">
        <w:rPr>
          <w:rFonts w:ascii="Times New Roman" w:hAnsi="Times New Roman" w:cs="Times New Roman"/>
          <w:color w:val="auto"/>
        </w:rPr>
        <w:t xml:space="preserve"> is publicly available in the GitHub repository. Because the canonical reference data live in a single spreadsheet, contributors add or revise references, correct metadata, or propose re-tiering by editing </w:t>
      </w:r>
      <w:r w:rsidRPr="008909C8">
        <w:rPr>
          <w:rFonts w:ascii="Times New Roman" w:hAnsi="Times New Roman" w:cs="Times New Roman"/>
          <w:color w:val="auto"/>
        </w:rPr>
        <w:lastRenderedPageBreak/>
        <w:t>that workbook and submitting a pull request, which maintainers review before merging; changes can be validated by a smoke test and by running the app locally before release.</w:t>
      </w:r>
    </w:p>
    <w:p w14:paraId="1F38CAE5" w14:textId="4D0ED606" w:rsidR="000C2C37" w:rsidRPr="008909C8" w:rsidRDefault="00000000">
      <w:pPr>
        <w:rPr>
          <w:rFonts w:ascii="Times New Roman" w:hAnsi="Times New Roman" w:cs="Times New Roman"/>
          <w:color w:val="auto"/>
        </w:rPr>
      </w:pPr>
      <w:r w:rsidRPr="008909C8">
        <w:rPr>
          <w:rFonts w:ascii="Times New Roman" w:hAnsi="Times New Roman" w:cs="Times New Roman"/>
          <w:b/>
          <w:color w:val="auto"/>
        </w:rPr>
        <w:t>How to cite the tool.</w:t>
      </w:r>
      <w:r w:rsidRPr="008909C8">
        <w:rPr>
          <w:rFonts w:ascii="Times New Roman" w:hAnsi="Times New Roman" w:cs="Times New Roman"/>
          <w:color w:val="auto"/>
        </w:rPr>
        <w:t xml:space="preserve"> The application provides a recommended citation in its About tab, which authors and users should use and keep synchronized with the final published reference. The About tab presents a suggested citation for the tool (currently "in review," with journal and DOI to be finalized) and states the AGPL-3.0 license terms. </w:t>
      </w:r>
    </w:p>
    <w:p w14:paraId="60CC6C23"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S8. Known limitations</w:t>
      </w:r>
    </w:p>
    <w:p w14:paraId="1D5D64BE" w14:textId="4D3579E6" w:rsidR="000C2C37" w:rsidRPr="008909C8" w:rsidRDefault="00000000">
      <w:pPr>
        <w:pStyle w:val="ListParagraph"/>
        <w:tabs>
          <w:tab w:val="left" w:pos="720"/>
        </w:tabs>
        <w:ind w:left="720" w:hanging="360"/>
        <w:rPr>
          <w:rFonts w:ascii="Times New Roman" w:hAnsi="Times New Roman" w:cs="Times New Roman"/>
          <w:color w:val="auto"/>
        </w:rPr>
      </w:pPr>
      <w:r w:rsidRPr="008909C8">
        <w:rPr>
          <w:rFonts w:ascii="Times New Roman" w:hAnsi="Times New Roman" w:cs="Times New Roman"/>
          <w:color w:val="auto"/>
        </w:rPr>
        <w:t>1.</w:t>
      </w:r>
      <w:r w:rsidRPr="008909C8">
        <w:rPr>
          <w:rFonts w:ascii="Times New Roman" w:hAnsi="Times New Roman" w:cs="Times New Roman"/>
          <w:color w:val="auto"/>
        </w:rPr>
        <w:tab/>
      </w:r>
      <w:r w:rsidRPr="008909C8">
        <w:rPr>
          <w:rFonts w:ascii="Times New Roman" w:hAnsi="Times New Roman" w:cs="Times New Roman"/>
          <w:b/>
          <w:color w:val="auto"/>
        </w:rPr>
        <w:t>Single-assessor tiering.</w:t>
      </w:r>
      <w:r w:rsidRPr="008909C8">
        <w:rPr>
          <w:rFonts w:ascii="Times New Roman" w:hAnsi="Times New Roman" w:cs="Times New Roman"/>
          <w:color w:val="auto"/>
        </w:rPr>
        <w:t xml:space="preserve"> Authority tiers were assigned by one author against an intentionally graded schema; assignments are interpretive and may be inconsistent at tier boundaries. The framework rates authority, not quality, and a lower-tier resource may be more current or more applicable to a given research question than a higher-tier one. </w:t>
      </w:r>
    </w:p>
    <w:p w14:paraId="22EE8153" w14:textId="77777777" w:rsidR="000C2C37" w:rsidRPr="008909C8" w:rsidRDefault="00000000">
      <w:pPr>
        <w:pStyle w:val="ListParagraph"/>
        <w:tabs>
          <w:tab w:val="left" w:pos="720"/>
        </w:tabs>
        <w:ind w:left="720" w:hanging="360"/>
        <w:rPr>
          <w:rFonts w:ascii="Times New Roman" w:hAnsi="Times New Roman" w:cs="Times New Roman"/>
          <w:color w:val="auto"/>
        </w:rPr>
      </w:pPr>
      <w:r w:rsidRPr="008909C8">
        <w:rPr>
          <w:rFonts w:ascii="Times New Roman" w:hAnsi="Times New Roman" w:cs="Times New Roman"/>
          <w:color w:val="auto"/>
        </w:rPr>
        <w:t>2.</w:t>
      </w:r>
      <w:r w:rsidRPr="008909C8">
        <w:rPr>
          <w:rFonts w:ascii="Times New Roman" w:hAnsi="Times New Roman" w:cs="Times New Roman"/>
          <w:color w:val="auto"/>
        </w:rPr>
        <w:tab/>
      </w:r>
      <w:r w:rsidRPr="008909C8">
        <w:rPr>
          <w:rFonts w:ascii="Times New Roman" w:hAnsi="Times New Roman" w:cs="Times New Roman"/>
          <w:b/>
          <w:color w:val="auto"/>
        </w:rPr>
        <w:t>Curation scope.</w:t>
      </w:r>
      <w:r w:rsidRPr="008909C8">
        <w:rPr>
          <w:rFonts w:ascii="Times New Roman" w:hAnsi="Times New Roman" w:cs="Times New Roman"/>
          <w:color w:val="auto"/>
        </w:rPr>
        <w:t xml:space="preserve"> The reference set reflects the authors' synthesis and expertise and is not an exhaustive systematic review; the contribution workflow (S7) is the mechanism for filling gaps.</w:t>
      </w:r>
    </w:p>
    <w:p w14:paraId="32E41EC0" w14:textId="77777777" w:rsidR="000C2C37" w:rsidRPr="008909C8" w:rsidRDefault="00000000">
      <w:pPr>
        <w:pStyle w:val="ListParagraph"/>
        <w:tabs>
          <w:tab w:val="left" w:pos="720"/>
        </w:tabs>
        <w:ind w:left="720" w:hanging="360"/>
        <w:rPr>
          <w:rFonts w:ascii="Times New Roman" w:hAnsi="Times New Roman" w:cs="Times New Roman"/>
          <w:color w:val="auto"/>
        </w:rPr>
      </w:pPr>
      <w:r w:rsidRPr="008909C8">
        <w:rPr>
          <w:rFonts w:ascii="Times New Roman" w:hAnsi="Times New Roman" w:cs="Times New Roman"/>
          <w:color w:val="auto"/>
        </w:rPr>
        <w:t>3.</w:t>
      </w:r>
      <w:r w:rsidRPr="008909C8">
        <w:rPr>
          <w:rFonts w:ascii="Times New Roman" w:hAnsi="Times New Roman" w:cs="Times New Roman"/>
          <w:color w:val="auto"/>
        </w:rPr>
        <w:tab/>
      </w:r>
      <w:r w:rsidRPr="008909C8">
        <w:rPr>
          <w:rFonts w:ascii="Times New Roman" w:hAnsi="Times New Roman" w:cs="Times New Roman"/>
          <w:b/>
          <w:color w:val="auto"/>
        </w:rPr>
        <w:t>Documented field-level gaps.</w:t>
      </w:r>
      <w:r w:rsidRPr="008909C8">
        <w:rPr>
          <w:rFonts w:ascii="Times New Roman" w:hAnsi="Times New Roman" w:cs="Times New Roman"/>
          <w:color w:val="auto"/>
        </w:rPr>
        <w:t xml:space="preserve"> For several matrices and for nanoplastics, no high-authority method yet exists; the tool records these gaps rather than substituting lower-authority resources silently (S4).</w:t>
      </w:r>
    </w:p>
    <w:p w14:paraId="33A7F855" w14:textId="77777777" w:rsidR="000C2C37" w:rsidRPr="008909C8" w:rsidRDefault="00000000">
      <w:pPr>
        <w:pStyle w:val="Heading2"/>
        <w:rPr>
          <w:rFonts w:ascii="Times New Roman" w:hAnsi="Times New Roman" w:cs="Times New Roman"/>
          <w:color w:val="auto"/>
        </w:rPr>
      </w:pPr>
      <w:r w:rsidRPr="008909C8">
        <w:rPr>
          <w:rFonts w:ascii="Times New Roman" w:hAnsi="Times New Roman" w:cs="Times New Roman"/>
          <w:color w:val="auto"/>
        </w:rPr>
        <w:t>References</w:t>
      </w:r>
    </w:p>
    <w:p w14:paraId="7909D143" w14:textId="7F6CB87E" w:rsidR="000C2C37" w:rsidRPr="008909C8" w:rsidRDefault="00000000">
      <w:pPr>
        <w:pStyle w:val="ListParagraph"/>
        <w:tabs>
          <w:tab w:val="left" w:pos="720"/>
        </w:tabs>
        <w:ind w:left="720" w:hanging="360"/>
        <w:rPr>
          <w:rFonts w:ascii="Times New Roman" w:hAnsi="Times New Roman" w:cs="Times New Roman"/>
          <w:color w:val="auto"/>
        </w:rPr>
      </w:pPr>
      <w:r w:rsidRPr="008909C8">
        <w:rPr>
          <w:rFonts w:ascii="Times New Roman" w:hAnsi="Times New Roman" w:cs="Times New Roman"/>
          <w:color w:val="auto"/>
        </w:rPr>
        <w:t>1.</w:t>
      </w:r>
      <w:r w:rsidRPr="008909C8">
        <w:rPr>
          <w:rFonts w:ascii="Times New Roman" w:hAnsi="Times New Roman" w:cs="Times New Roman"/>
          <w:color w:val="auto"/>
        </w:rPr>
        <w:tab/>
        <w:t>Cowger W, Booth AM, Hamilton BM, Thaysen C, Primpke S, Munno K, Lusher AL, Dehaut A, Vaz VP, Liboiron M, Devriese LI, Hermabessiere L, Rochman C, Athey SN, Lynch JM, De Frond H, Gray A, Jones OAH, Brander S, Steele C, Moore S, Sanchez A, Nel H. Reporting Guidelines to Increase the Reproducibility and Comparability of Research on Microplastics. Appl Spectrosc. 2020;74(9):1066-1077. doi:10.1177/0003702820930292. PMID: 32394727.</w:t>
      </w:r>
    </w:p>
    <w:sectPr w:rsidR="000C2C37" w:rsidRPr="008909C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865D" w14:textId="77777777" w:rsidR="00EA06F6" w:rsidRDefault="00EA06F6">
      <w:pPr>
        <w:spacing w:after="0" w:line="240" w:lineRule="auto"/>
      </w:pPr>
      <w:r>
        <w:separator/>
      </w:r>
    </w:p>
  </w:endnote>
  <w:endnote w:type="continuationSeparator" w:id="0">
    <w:p w14:paraId="11E825C8" w14:textId="77777777" w:rsidR="00EA06F6" w:rsidRDefault="00EA0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7CA6" w14:textId="77777777" w:rsidR="00EA06F6" w:rsidRDefault="00EA06F6">
      <w:pPr>
        <w:spacing w:after="0" w:line="240" w:lineRule="auto"/>
      </w:pPr>
      <w:r>
        <w:separator/>
      </w:r>
    </w:p>
  </w:footnote>
  <w:footnote w:type="continuationSeparator" w:id="0">
    <w:p w14:paraId="3841B2BF" w14:textId="77777777" w:rsidR="00EA06F6" w:rsidRDefault="00EA06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16D35"/>
    <w:multiLevelType w:val="hybridMultilevel"/>
    <w:tmpl w:val="D5BE64E6"/>
    <w:lvl w:ilvl="0" w:tplc="249A8860">
      <w:start w:val="1"/>
      <w:numFmt w:val="bullet"/>
      <w:lvlText w:val="•"/>
      <w:lvlJc w:val="left"/>
      <w:pPr>
        <w:ind w:left="720" w:hanging="360"/>
      </w:pPr>
      <w:rPr>
        <w:rFonts w:ascii="Georgia" w:eastAsia="Georgia" w:hAnsi="Georgia" w:cs="Georgia"/>
        <w:color w:val="171717"/>
        <w:sz w:val="20"/>
        <w:szCs w:val="20"/>
      </w:rPr>
    </w:lvl>
    <w:lvl w:ilvl="1" w:tplc="63726F04">
      <w:start w:val="1"/>
      <w:numFmt w:val="bullet"/>
      <w:lvlText w:val="–"/>
      <w:lvlJc w:val="left"/>
      <w:pPr>
        <w:ind w:left="1440" w:hanging="360"/>
      </w:pPr>
      <w:rPr>
        <w:rFonts w:ascii="Georgia" w:eastAsia="Georgia" w:hAnsi="Georgia" w:cs="Georgia"/>
        <w:color w:val="171717"/>
        <w:sz w:val="20"/>
        <w:szCs w:val="20"/>
      </w:rPr>
    </w:lvl>
    <w:lvl w:ilvl="2" w:tplc="68E23362">
      <w:numFmt w:val="decimal"/>
      <w:lvlText w:val=""/>
      <w:lvlJc w:val="left"/>
    </w:lvl>
    <w:lvl w:ilvl="3" w:tplc="A59CDA50">
      <w:numFmt w:val="decimal"/>
      <w:lvlText w:val=""/>
      <w:lvlJc w:val="left"/>
    </w:lvl>
    <w:lvl w:ilvl="4" w:tplc="A6D8254C">
      <w:numFmt w:val="decimal"/>
      <w:lvlText w:val=""/>
      <w:lvlJc w:val="left"/>
    </w:lvl>
    <w:lvl w:ilvl="5" w:tplc="3E108066">
      <w:numFmt w:val="decimal"/>
      <w:lvlText w:val=""/>
      <w:lvlJc w:val="left"/>
    </w:lvl>
    <w:lvl w:ilvl="6" w:tplc="30A6B186">
      <w:numFmt w:val="decimal"/>
      <w:lvlText w:val=""/>
      <w:lvlJc w:val="left"/>
    </w:lvl>
    <w:lvl w:ilvl="7" w:tplc="FE62A194">
      <w:numFmt w:val="decimal"/>
      <w:lvlText w:val=""/>
      <w:lvlJc w:val="left"/>
    </w:lvl>
    <w:lvl w:ilvl="8" w:tplc="3476FC00">
      <w:numFmt w:val="decimal"/>
      <w:lvlText w:val=""/>
      <w:lvlJc w:val="left"/>
    </w:lvl>
  </w:abstractNum>
  <w:abstractNum w:abstractNumId="1" w15:restartNumberingAfterBreak="0">
    <w:nsid w:val="77F96B0F"/>
    <w:multiLevelType w:val="hybridMultilevel"/>
    <w:tmpl w:val="C82CE5BA"/>
    <w:lvl w:ilvl="0" w:tplc="9746077A">
      <w:start w:val="1"/>
      <w:numFmt w:val="decimal"/>
      <w:lvlText w:val="%1."/>
      <w:lvlJc w:val="left"/>
      <w:pPr>
        <w:ind w:left="720" w:hanging="360"/>
      </w:pPr>
      <w:rPr>
        <w:rFonts w:ascii="Georgia" w:eastAsia="Georgia" w:hAnsi="Georgia" w:cs="Georgia"/>
        <w:color w:val="171717"/>
        <w:sz w:val="20"/>
        <w:szCs w:val="20"/>
      </w:rPr>
    </w:lvl>
    <w:lvl w:ilvl="1" w:tplc="3D16C36A">
      <w:start w:val="1"/>
      <w:numFmt w:val="lowerLetter"/>
      <w:lvlText w:val="%2."/>
      <w:lvlJc w:val="left"/>
      <w:pPr>
        <w:ind w:left="1440" w:hanging="360"/>
      </w:pPr>
      <w:rPr>
        <w:rFonts w:ascii="Georgia" w:eastAsia="Georgia" w:hAnsi="Georgia" w:cs="Georgia"/>
        <w:color w:val="171717"/>
        <w:sz w:val="20"/>
        <w:szCs w:val="20"/>
      </w:rPr>
    </w:lvl>
    <w:lvl w:ilvl="2" w:tplc="70C4B34E">
      <w:numFmt w:val="decimal"/>
      <w:lvlText w:val=""/>
      <w:lvlJc w:val="left"/>
    </w:lvl>
    <w:lvl w:ilvl="3" w:tplc="55AC176E">
      <w:numFmt w:val="decimal"/>
      <w:lvlText w:val=""/>
      <w:lvlJc w:val="left"/>
    </w:lvl>
    <w:lvl w:ilvl="4" w:tplc="1CF404DA">
      <w:numFmt w:val="decimal"/>
      <w:lvlText w:val=""/>
      <w:lvlJc w:val="left"/>
    </w:lvl>
    <w:lvl w:ilvl="5" w:tplc="747073BC">
      <w:numFmt w:val="decimal"/>
      <w:lvlText w:val=""/>
      <w:lvlJc w:val="left"/>
    </w:lvl>
    <w:lvl w:ilvl="6" w:tplc="57663758">
      <w:numFmt w:val="decimal"/>
      <w:lvlText w:val=""/>
      <w:lvlJc w:val="left"/>
    </w:lvl>
    <w:lvl w:ilvl="7" w:tplc="77C2EFA8">
      <w:numFmt w:val="decimal"/>
      <w:lvlText w:val=""/>
      <w:lvlJc w:val="left"/>
    </w:lvl>
    <w:lvl w:ilvl="8" w:tplc="B4080582">
      <w:numFmt w:val="decimal"/>
      <w:lvlText w:val=""/>
      <w:lvlJc w:val="left"/>
    </w:lvl>
  </w:abstractNum>
  <w:abstractNum w:abstractNumId="2" w15:restartNumberingAfterBreak="0">
    <w:nsid w:val="790B6A47"/>
    <w:multiLevelType w:val="hybridMultilevel"/>
    <w:tmpl w:val="2F32EDEA"/>
    <w:lvl w:ilvl="0" w:tplc="F01048A0">
      <w:start w:val="1"/>
      <w:numFmt w:val="bullet"/>
      <w:lvlText w:val="●"/>
      <w:lvlJc w:val="left"/>
      <w:pPr>
        <w:ind w:left="720" w:hanging="360"/>
      </w:pPr>
    </w:lvl>
    <w:lvl w:ilvl="1" w:tplc="A4609388">
      <w:start w:val="1"/>
      <w:numFmt w:val="bullet"/>
      <w:lvlText w:val="○"/>
      <w:lvlJc w:val="left"/>
      <w:pPr>
        <w:ind w:left="1440" w:hanging="360"/>
      </w:pPr>
    </w:lvl>
    <w:lvl w:ilvl="2" w:tplc="4D7CDCBE">
      <w:start w:val="1"/>
      <w:numFmt w:val="bullet"/>
      <w:lvlText w:val="■"/>
      <w:lvlJc w:val="left"/>
      <w:pPr>
        <w:ind w:left="2160" w:hanging="360"/>
      </w:pPr>
    </w:lvl>
    <w:lvl w:ilvl="3" w:tplc="1F4C094E">
      <w:start w:val="1"/>
      <w:numFmt w:val="bullet"/>
      <w:lvlText w:val="●"/>
      <w:lvlJc w:val="left"/>
      <w:pPr>
        <w:ind w:left="2880" w:hanging="360"/>
      </w:pPr>
    </w:lvl>
    <w:lvl w:ilvl="4" w:tplc="62C44CFC">
      <w:start w:val="1"/>
      <w:numFmt w:val="bullet"/>
      <w:lvlText w:val="○"/>
      <w:lvlJc w:val="left"/>
      <w:pPr>
        <w:ind w:left="3600" w:hanging="360"/>
      </w:pPr>
    </w:lvl>
    <w:lvl w:ilvl="5" w:tplc="E7D455F6">
      <w:start w:val="1"/>
      <w:numFmt w:val="bullet"/>
      <w:lvlText w:val="■"/>
      <w:lvlJc w:val="left"/>
      <w:pPr>
        <w:ind w:left="4320" w:hanging="360"/>
      </w:pPr>
    </w:lvl>
    <w:lvl w:ilvl="6" w:tplc="2C40F06C">
      <w:start w:val="1"/>
      <w:numFmt w:val="bullet"/>
      <w:lvlText w:val="●"/>
      <w:lvlJc w:val="left"/>
      <w:pPr>
        <w:ind w:left="5040" w:hanging="360"/>
      </w:pPr>
    </w:lvl>
    <w:lvl w:ilvl="7" w:tplc="EBD03AA2">
      <w:start w:val="1"/>
      <w:numFmt w:val="bullet"/>
      <w:lvlText w:val="●"/>
      <w:lvlJc w:val="left"/>
      <w:pPr>
        <w:ind w:left="5760" w:hanging="360"/>
      </w:pPr>
    </w:lvl>
    <w:lvl w:ilvl="8" w:tplc="BB3A5316">
      <w:start w:val="1"/>
      <w:numFmt w:val="bullet"/>
      <w:lvlText w:val="●"/>
      <w:lvlJc w:val="left"/>
      <w:pPr>
        <w:ind w:left="6480" w:hanging="360"/>
      </w:pPr>
    </w:lvl>
  </w:abstractNum>
  <w:num w:numId="1" w16cid:durableId="335497326">
    <w:abstractNumId w:val="2"/>
    <w:lvlOverride w:ilvl="0">
      <w:startOverride w:val="1"/>
    </w:lvlOverride>
  </w:num>
  <w:num w:numId="2" w16cid:durableId="417214354">
    <w:abstractNumId w:val="0"/>
    <w:lvlOverride w:ilvl="0">
      <w:startOverride w:val="1"/>
    </w:lvlOverride>
  </w:num>
  <w:num w:numId="3" w16cid:durableId="998390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C37"/>
    <w:rsid w:val="000C2C37"/>
    <w:rsid w:val="003A0D0C"/>
    <w:rsid w:val="004C7193"/>
    <w:rsid w:val="004F1269"/>
    <w:rsid w:val="008909C8"/>
    <w:rsid w:val="00902C5B"/>
    <w:rsid w:val="00E61307"/>
    <w:rsid w:val="00EA06F6"/>
    <w:rsid w:val="00EC4631"/>
    <w:rsid w:val="00F04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DACF"/>
  <w15:docId w15:val="{64F930EA-EF7F-4763-9365-02E83047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71717"/>
        <w:lang w:val="en-US" w:eastAsia="en-US" w:bidi="ar-SA"/>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Arial" w:eastAsia="Arial" w:hAnsi="Arial" w:cs="Arial"/>
      <w:color w:val="1A1A1A"/>
      <w:sz w:val="21"/>
    </w:rPr>
  </w:style>
  <w:style w:type="paragraph" w:styleId="Heading1">
    <w:name w:val="heading 1"/>
    <w:basedOn w:val="Normal"/>
    <w:next w:val="Normal"/>
    <w:uiPriority w:val="9"/>
    <w:qFormat/>
    <w:pPr>
      <w:keepNext/>
      <w:keepLines/>
      <w:pBdr>
        <w:bottom w:val="single" w:sz="8" w:space="4" w:color="1F5132"/>
      </w:pBdr>
      <w:spacing w:before="280" w:after="160"/>
      <w:outlineLvl w:val="0"/>
    </w:pPr>
    <w:rPr>
      <w:b/>
      <w:color w:val="1F5132"/>
      <w:sz w:val="30"/>
      <w:szCs w:val="28"/>
    </w:rPr>
  </w:style>
  <w:style w:type="paragraph" w:styleId="Heading2">
    <w:name w:val="heading 2"/>
    <w:basedOn w:val="Normal"/>
    <w:next w:val="Normal"/>
    <w:uiPriority w:val="9"/>
    <w:unhideWhenUsed/>
    <w:qFormat/>
    <w:pPr>
      <w:keepNext/>
      <w:keepLines/>
      <w:spacing w:before="220" w:after="120"/>
      <w:outlineLvl w:val="1"/>
    </w:pPr>
    <w:rPr>
      <w:b/>
      <w:sz w:val="25"/>
      <w:szCs w:val="24"/>
    </w:rPr>
  </w:style>
  <w:style w:type="paragraph" w:styleId="Heading3">
    <w:name w:val="heading 3"/>
    <w:basedOn w:val="Normal"/>
    <w:next w:val="Normal"/>
    <w:uiPriority w:val="9"/>
    <w:unhideWhenUsed/>
    <w:qFormat/>
    <w:pPr>
      <w:keepNext/>
      <w:keepLines/>
      <w:spacing w:before="160" w:after="80"/>
      <w:outlineLvl w:val="2"/>
    </w:pPr>
    <w:rPr>
      <w:b/>
      <w:color w:val="1F5132"/>
      <w:sz w:val="22"/>
      <w:szCs w:val="22"/>
    </w:rPr>
  </w:style>
  <w:style w:type="paragraph" w:styleId="Heading4">
    <w:name w:val="heading 4"/>
    <w:basedOn w:val="Normal"/>
    <w:next w:val="Normal"/>
    <w:uiPriority w:val="9"/>
    <w:semiHidden/>
    <w:unhideWhenUsed/>
    <w:qFormat/>
    <w:pPr>
      <w:keepNext/>
      <w:keepLines/>
      <w:outlineLvl w:val="3"/>
    </w:pPr>
    <w:rPr>
      <w:b/>
      <w:i/>
      <w:iCs/>
      <w:color w:val="171717"/>
    </w:rPr>
  </w:style>
  <w:style w:type="paragraph" w:styleId="Heading5">
    <w:name w:val="heading 5"/>
    <w:basedOn w:val="Normal"/>
    <w:next w:val="Normal"/>
    <w:uiPriority w:val="9"/>
    <w:semiHidden/>
    <w:unhideWhenUsed/>
    <w:qFormat/>
    <w:pPr>
      <w:keepNext/>
      <w:keepLines/>
      <w:outlineLvl w:val="4"/>
    </w:pPr>
    <w:rPr>
      <w:b/>
      <w:color w:val="171717"/>
    </w:rPr>
  </w:style>
  <w:style w:type="paragraph" w:styleId="Heading6">
    <w:name w:val="heading 6"/>
    <w:basedOn w:val="Normal"/>
    <w:next w:val="Normal"/>
    <w:uiPriority w:val="9"/>
    <w:semiHidden/>
    <w:unhideWhenUsed/>
    <w:qFormat/>
    <w:pPr>
      <w:keepNext/>
      <w:keepLines/>
      <w:outlineLvl w:val="5"/>
    </w:pPr>
    <w:rPr>
      <w:b/>
      <w:color w:val="1717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1F5132"/>
      <w:sz w:val="44"/>
      <w:szCs w:val="4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1F5132"/>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qFormat/>
    <w:pPr>
      <w:pBdr>
        <w:left w:val="single" w:sz="12" w:space="8" w:color="E8E8E8"/>
      </w:pBdr>
      <w:spacing w:before="120" w:after="120" w:line="380" w:lineRule="exact"/>
      <w:ind w:left="480"/>
    </w:pPr>
    <w:rPr>
      <w:color w:val="5A6470"/>
      <w:sz w:val="20"/>
    </w:rPr>
  </w:style>
  <w:style w:type="paragraph" w:customStyle="1" w:styleId="TableHeader">
    <w:name w:val="Table Header"/>
    <w:basedOn w:val="Normal"/>
    <w:qFormat/>
    <w:pPr>
      <w:spacing w:before="40" w:after="40" w:line="240" w:lineRule="auto"/>
    </w:pPr>
    <w:rPr>
      <w:b/>
      <w:bCs/>
      <w:color w:val="FFFFFF"/>
      <w:sz w:val="20"/>
      <w:szCs w:val="17"/>
    </w:rPr>
  </w:style>
  <w:style w:type="paragraph" w:customStyle="1" w:styleId="TableBody">
    <w:name w:val="Table Body"/>
    <w:basedOn w:val="Normal"/>
    <w:qFormat/>
    <w:pPr>
      <w:spacing w:before="40" w:after="40" w:line="260" w:lineRule="auto"/>
    </w:pPr>
    <w:rPr>
      <w:sz w:val="20"/>
    </w:rPr>
  </w:style>
  <w:style w:type="paragraph" w:customStyle="1" w:styleId="CodeBlock">
    <w:name w:val="Code Block"/>
    <w:basedOn w:val="Normal"/>
    <w:qFormat/>
    <w:pPr>
      <w:spacing w:before="80" w:after="80" w:line="260" w:lineRule="auto"/>
    </w:pPr>
    <w:rPr>
      <w:rFonts w:ascii="Courier New" w:eastAsia="Courier New" w:hAnsi="Courier New" w:cs="Courier New"/>
      <w:color w:val="171717"/>
      <w:sz w:val="18"/>
      <w:szCs w:val="18"/>
    </w:rPr>
  </w:style>
  <w:style w:type="character" w:customStyle="1" w:styleId="InlineCode">
    <w:name w:val="Inline Code"/>
    <w:uiPriority w:val="99"/>
    <w:unhideWhenUsed/>
    <w:rPr>
      <w:rFonts w:ascii="Courier New" w:eastAsia="Courier New" w:hAnsi="Courier New" w:cs="Courier New"/>
      <w:color w:val="171717"/>
      <w:sz w:val="18"/>
      <w:szCs w:val="18"/>
      <w:shd w:val="clear" w:color="auto" w:fill="F2F1F0"/>
    </w:rPr>
  </w:style>
  <w:style w:type="paragraph" w:styleId="Header">
    <w:name w:val="header"/>
    <w:basedOn w:val="Normal"/>
    <w:link w:val="HeaderChar"/>
    <w:uiPriority w:val="99"/>
    <w:unhideWhenUsed/>
    <w:rsid w:val="00890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09C8"/>
    <w:rPr>
      <w:rFonts w:ascii="Arial" w:eastAsia="Arial" w:hAnsi="Arial" w:cs="Arial"/>
      <w:color w:val="1A1A1A"/>
      <w:sz w:val="21"/>
    </w:rPr>
  </w:style>
  <w:style w:type="paragraph" w:styleId="Footer">
    <w:name w:val="footer"/>
    <w:basedOn w:val="Normal"/>
    <w:link w:val="FooterChar"/>
    <w:uiPriority w:val="99"/>
    <w:unhideWhenUsed/>
    <w:rsid w:val="00890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9C8"/>
    <w:rPr>
      <w:rFonts w:ascii="Arial" w:eastAsia="Arial" w:hAnsi="Arial" w:cs="Arial"/>
      <w:color w:val="1A1A1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w.githubusercontent.com/ScottCoffin/MNP-Compass/main/README.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2657</Words>
  <Characters>15149</Characters>
  <Application>Microsoft Office Word</Application>
  <DocSecurity>0</DocSecurity>
  <Lines>126</Lines>
  <Paragraphs>35</Paragraphs>
  <ScaleCrop>false</ScaleCrop>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Coffin, Scott@OEHHA</cp:lastModifiedBy>
  <cp:revision>7</cp:revision>
  <dcterms:created xsi:type="dcterms:W3CDTF">2026-03-05T17:19:00Z</dcterms:created>
  <dcterms:modified xsi:type="dcterms:W3CDTF">2026-08-27T21:44:00Z</dcterms:modified>
</cp:coreProperties>
</file>