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C6E52" w14:textId="77777777" w:rsidR="00B00466" w:rsidRDefault="00B00466" w:rsidP="00B00466">
      <w:pPr>
        <w:pStyle w:val="Heading3"/>
      </w:pPr>
      <w:r>
        <w:t>Data alignment</w:t>
      </w:r>
    </w:p>
    <w:p w14:paraId="043149E3" w14:textId="77777777" w:rsidR="00B00466" w:rsidRDefault="00B00466" w:rsidP="00B00466">
      <w:pPr>
        <w:pStyle w:val="Heading4"/>
      </w:pPr>
      <w:r>
        <w:t>Text for main manuscript</w:t>
      </w:r>
    </w:p>
    <w:p w14:paraId="71EC33F2" w14:textId="77777777" w:rsidR="00B00466" w:rsidRPr="00085B8B" w:rsidRDefault="00B00466" w:rsidP="00B00466">
      <w:pPr>
        <w:spacing w:before="240" w:after="240"/>
        <w:ind w:firstLine="720"/>
      </w:pPr>
      <w:r w:rsidRPr="00085B8B">
        <w:t>Monodisperse laboratory-based effect concentrations (e.g. </w:t>
      </w:r>
      <w:r>
        <w:t>4</w:t>
      </w:r>
      <w:r w:rsidRPr="00085B8B">
        <w:t xml:space="preserve">0-micron polyethylene fragments) were re-scaled to a default size range (e.g. 1 - 5,000 microns) according to </w:t>
      </w:r>
      <w:proofErr w:type="spellStart"/>
      <w:r w:rsidRPr="00085B8B">
        <w:t>Kooi</w:t>
      </w:r>
      <w:proofErr w:type="spellEnd"/>
      <w:r w:rsidRPr="00085B8B">
        <w:t xml:space="preserve"> et al (2021) and described in detail in the </w:t>
      </w:r>
      <w:r w:rsidRPr="007D06CE">
        <w:rPr>
          <w:b/>
          <w:bCs/>
        </w:rPr>
        <w:t>supplemental information</w:t>
      </w:r>
      <w:r w:rsidRPr="00085B8B">
        <w:t>. Re-scaling effect concentrations (</w:t>
      </w:r>
      <w:r w:rsidRPr="00085B8B">
        <w:rPr>
          <w:i/>
          <w:iCs/>
        </w:rPr>
        <w:t>EC</w:t>
      </w:r>
      <w:r w:rsidRPr="00085B8B">
        <w:t>) to a default size range allows direct comparison to exposure concentrations (</w:t>
      </w:r>
      <w:r w:rsidRPr="00085B8B">
        <w:rPr>
          <w:i/>
          <w:iCs/>
        </w:rPr>
        <w:t>C</w:t>
      </w:r>
      <w:r w:rsidRPr="00085B8B">
        <w:t>) for a default size range (which may also be re-scaled) (equation 1) (</w:t>
      </w:r>
      <w:proofErr w:type="spellStart"/>
      <w:r w:rsidRPr="00085B8B">
        <w:t>Kooi</w:t>
      </w:r>
      <w:proofErr w:type="spellEnd"/>
      <w:r w:rsidRPr="00085B8B">
        <w:t xml:space="preserve"> et al 2021).</w:t>
      </w:r>
    </w:p>
    <w:p w14:paraId="0D91CABF" w14:textId="77777777" w:rsidR="00B00466" w:rsidRPr="00085B8B" w:rsidRDefault="00B00466" w:rsidP="00B00466">
      <w:pPr>
        <w:spacing w:after="200" w:line="240" w:lineRule="auto"/>
        <w:jc w:val="center"/>
      </w:pPr>
      <w:r w:rsidRPr="00085B8B">
        <w:rPr>
          <w:b/>
        </w:rPr>
        <w:t>Equation 1</w:t>
      </w:r>
      <w:r w:rsidRPr="00085B8B">
        <w:rPr>
          <w:b/>
        </w:rPr>
        <w:tab/>
      </w:r>
      <m:oMath>
        <m:sSub>
          <m:sSubPr>
            <m:ctrlPr>
              <w:rPr>
                <w:rFonts w:ascii="Cambria Math" w:hAnsi="Cambria Math"/>
                <w:i/>
              </w:rPr>
            </m:ctrlPr>
          </m:sSubPr>
          <m:e>
            <m:r>
              <w:rPr>
                <w:rFonts w:ascii="Cambria Math" w:hAnsi="Cambria Math"/>
              </w:rPr>
              <m:t>EC</m:t>
            </m:r>
          </m:e>
          <m:sub>
            <m:r>
              <w:rPr>
                <w:rFonts w:ascii="Cambria Math" w:hAnsi="Cambria Math"/>
              </w:rPr>
              <m:t>env</m:t>
            </m:r>
          </m:sub>
        </m:sSub>
        <m:r>
          <w:rPr>
            <w:rFonts w:ascii="Cambria Math" w:hAnsi="Cambria Math"/>
          </w:rPr>
          <m:t xml:space="preserve">(or </m:t>
        </m:r>
        <m:sSub>
          <m:sSubPr>
            <m:ctrlPr>
              <w:rPr>
                <w:rFonts w:ascii="Cambria Math" w:hAnsi="Cambria Math"/>
                <w:i/>
              </w:rPr>
            </m:ctrlPr>
          </m:sSubPr>
          <m:e>
            <m:r>
              <w:rPr>
                <w:rFonts w:ascii="Cambria Math" w:hAnsi="Cambria Math"/>
              </w:rPr>
              <m:t>C</m:t>
            </m:r>
          </m:e>
          <m:sub>
            <m:r>
              <w:rPr>
                <w:rFonts w:ascii="Cambria Math" w:hAnsi="Cambria Math"/>
              </w:rPr>
              <m:t>env</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bio (or meas)</m:t>
            </m:r>
          </m:sub>
        </m:sSub>
        <m:r>
          <w:rPr>
            <w:rFonts w:ascii="Cambria Math" w:hAnsi="Cambria Math"/>
          </w:rPr>
          <m:t xml:space="preserve">* </m:t>
        </m:r>
        <m:sSub>
          <m:sSubPr>
            <m:ctrlPr>
              <w:rPr>
                <w:rFonts w:ascii="Cambria Math" w:hAnsi="Cambria Math"/>
                <w:i/>
              </w:rPr>
            </m:ctrlPr>
          </m:sSubPr>
          <m:e>
            <m:r>
              <w:rPr>
                <w:rFonts w:ascii="Cambria Math" w:hAnsi="Cambria Math"/>
              </w:rPr>
              <m:t>EC</m:t>
            </m:r>
          </m:e>
          <m:sub>
            <m:r>
              <w:rPr>
                <w:rFonts w:ascii="Cambria Math" w:hAnsi="Cambria Math"/>
              </w:rPr>
              <m:t>poly</m:t>
            </m:r>
          </m:sub>
        </m:sSub>
        <m:r>
          <w:rPr>
            <w:rFonts w:ascii="Cambria Math" w:hAnsi="Cambria Math"/>
          </w:rPr>
          <m:t xml:space="preserve"> (or </m:t>
        </m:r>
        <m:sSub>
          <m:sSubPr>
            <m:ctrlPr>
              <w:rPr>
                <w:rFonts w:ascii="Cambria Math" w:hAnsi="Cambria Math"/>
                <w:i/>
              </w:rPr>
            </m:ctrlPr>
          </m:sSubPr>
          <m:e>
            <m:r>
              <w:rPr>
                <w:rFonts w:ascii="Cambria Math" w:hAnsi="Cambria Math"/>
              </w:rPr>
              <m:t>C</m:t>
            </m:r>
          </m:e>
          <m:sub>
            <m:r>
              <w:rPr>
                <w:rFonts w:ascii="Cambria Math" w:hAnsi="Cambria Math"/>
              </w:rPr>
              <m:t>meas</m:t>
            </m:r>
          </m:sub>
        </m:sSub>
        <m:r>
          <w:rPr>
            <w:rFonts w:ascii="Cambria Math" w:hAnsi="Cambria Math"/>
          </w:rPr>
          <m:t>)</m:t>
        </m:r>
      </m:oMath>
    </w:p>
    <w:p w14:paraId="2D1BB05E" w14:textId="77777777" w:rsidR="00B00466" w:rsidRPr="00085B8B" w:rsidRDefault="00B00466" w:rsidP="00B00466">
      <w:pPr>
        <w:spacing w:after="200" w:line="240" w:lineRule="auto"/>
        <w:ind w:firstLine="720"/>
      </w:pPr>
      <w:r w:rsidRPr="00085B8B">
        <w:t xml:space="preserve">Where </w:t>
      </w:r>
      <w:proofErr w:type="spellStart"/>
      <w:r w:rsidRPr="00085B8B">
        <w:rPr>
          <w:i/>
          <w:iCs/>
        </w:rPr>
        <w:t>EC</w:t>
      </w:r>
      <w:r w:rsidRPr="00085B8B">
        <w:rPr>
          <w:i/>
          <w:iCs/>
          <w:vertAlign w:val="subscript"/>
        </w:rPr>
        <w:t>env</w:t>
      </w:r>
      <w:proofErr w:type="spellEnd"/>
      <w:r w:rsidRPr="00085B8B">
        <w:rPr>
          <w:i/>
          <w:iCs/>
          <w:vertAlign w:val="subscript"/>
        </w:rPr>
        <w:t xml:space="preserve"> </w:t>
      </w:r>
      <w:r w:rsidRPr="00085B8B">
        <w:rPr>
          <w:i/>
          <w:iCs/>
        </w:rPr>
        <w:t>and</w:t>
      </w:r>
      <w:r w:rsidRPr="00085B8B">
        <w:rPr>
          <w:i/>
          <w:iCs/>
          <w:vertAlign w:val="subscript"/>
        </w:rPr>
        <w:t xml:space="preserve"> </w:t>
      </w:r>
      <w:proofErr w:type="spellStart"/>
      <w:r w:rsidRPr="00085B8B">
        <w:rPr>
          <w:i/>
          <w:iCs/>
        </w:rPr>
        <w:t>C</w:t>
      </w:r>
      <w:r w:rsidRPr="00085B8B">
        <w:rPr>
          <w:i/>
          <w:iCs/>
          <w:vertAlign w:val="subscript"/>
        </w:rPr>
        <w:t>env</w:t>
      </w:r>
      <w:proofErr w:type="spellEnd"/>
      <w:r w:rsidRPr="00085B8B">
        <w:t xml:space="preserve"> are the environmentally realistic effect concentration and occurrence concentrations, respectively; </w:t>
      </w:r>
      <w:proofErr w:type="spellStart"/>
      <w:r w:rsidRPr="00085B8B">
        <w:rPr>
          <w:i/>
          <w:iCs/>
        </w:rPr>
        <w:t>CF</w:t>
      </w:r>
      <w:r w:rsidRPr="00085B8B">
        <w:rPr>
          <w:i/>
          <w:iCs/>
          <w:vertAlign w:val="subscript"/>
        </w:rPr>
        <w:t>bio</w:t>
      </w:r>
      <w:proofErr w:type="spellEnd"/>
      <w:r w:rsidRPr="00085B8B">
        <w:rPr>
          <w:i/>
          <w:iCs/>
          <w:vertAlign w:val="subscript"/>
        </w:rPr>
        <w:t xml:space="preserve"> (or </w:t>
      </w:r>
      <w:proofErr w:type="spellStart"/>
      <w:r w:rsidRPr="00085B8B">
        <w:rPr>
          <w:i/>
          <w:iCs/>
          <w:vertAlign w:val="subscript"/>
        </w:rPr>
        <w:t>meas</w:t>
      </w:r>
      <w:proofErr w:type="spellEnd"/>
      <w:r w:rsidRPr="00085B8B">
        <w:rPr>
          <w:i/>
          <w:iCs/>
          <w:vertAlign w:val="subscript"/>
        </w:rPr>
        <w:t xml:space="preserve">) </w:t>
      </w:r>
      <w:r w:rsidRPr="00085B8B">
        <w:t>is a dimensionless correction factor the bioavailable effect concentration (</w:t>
      </w:r>
      <w:r w:rsidRPr="00085B8B">
        <w:rPr>
          <w:i/>
          <w:iCs/>
        </w:rPr>
        <w:t>bio</w:t>
      </w:r>
      <w:r w:rsidRPr="00085B8B">
        <w:t>) or the environmentally-monitored concentration (</w:t>
      </w:r>
      <w:proofErr w:type="spellStart"/>
      <w:r w:rsidRPr="00085B8B">
        <w:rPr>
          <w:i/>
          <w:iCs/>
        </w:rPr>
        <w:t>meas</w:t>
      </w:r>
      <w:proofErr w:type="spellEnd"/>
      <w:r w:rsidRPr="00085B8B">
        <w:t xml:space="preserve">); and </w:t>
      </w:r>
      <w:proofErr w:type="spellStart"/>
      <w:r w:rsidRPr="00085B8B">
        <w:rPr>
          <w:i/>
          <w:iCs/>
        </w:rPr>
        <w:t>EC</w:t>
      </w:r>
      <w:r w:rsidRPr="00085B8B">
        <w:rPr>
          <w:i/>
          <w:iCs/>
          <w:vertAlign w:val="subscript"/>
        </w:rPr>
        <w:t>poly</w:t>
      </w:r>
      <w:proofErr w:type="spellEnd"/>
      <w:r w:rsidRPr="00085B8B">
        <w:rPr>
          <w:i/>
          <w:iCs/>
          <w:vertAlign w:val="subscript"/>
        </w:rPr>
        <w:t xml:space="preserve"> </w:t>
      </w:r>
      <w:r w:rsidRPr="00085B8B">
        <w:rPr>
          <w:i/>
          <w:iCs/>
        </w:rPr>
        <w:t>and</w:t>
      </w:r>
      <w:r w:rsidRPr="00085B8B">
        <w:rPr>
          <w:i/>
          <w:iCs/>
          <w:vertAlign w:val="subscript"/>
        </w:rPr>
        <w:t xml:space="preserve"> </w:t>
      </w:r>
      <w:proofErr w:type="spellStart"/>
      <w:r w:rsidRPr="00085B8B">
        <w:rPr>
          <w:i/>
          <w:iCs/>
        </w:rPr>
        <w:t>C</w:t>
      </w:r>
      <w:r w:rsidRPr="00085B8B">
        <w:rPr>
          <w:i/>
          <w:iCs/>
          <w:vertAlign w:val="subscript"/>
        </w:rPr>
        <w:t>meas</w:t>
      </w:r>
      <w:proofErr w:type="spellEnd"/>
      <w:r w:rsidRPr="00085B8B">
        <w:rPr>
          <w:i/>
          <w:iCs/>
          <w:vertAlign w:val="subscript"/>
        </w:rPr>
        <w:t xml:space="preserve"> </w:t>
      </w:r>
      <w:r w:rsidRPr="00085B8B">
        <w:t>are the polydisperse effect concentration and (unaligned) environmental concentration, respectively. Environmental concentrations are aligned to an upper (</w:t>
      </w:r>
      <w:r w:rsidRPr="00085B8B">
        <w:rPr>
          <w:i/>
          <w:iCs/>
        </w:rPr>
        <w:t xml:space="preserve">UL,D; </w:t>
      </w:r>
      <w:r w:rsidRPr="00085B8B">
        <w:t>µm</w:t>
      </w:r>
      <w:r w:rsidRPr="00085B8B">
        <w:rPr>
          <w:i/>
          <w:iCs/>
        </w:rPr>
        <w:t>)</w:t>
      </w:r>
      <w:r w:rsidRPr="00085B8B">
        <w:t xml:space="preserve"> and lower default size range (</w:t>
      </w:r>
      <w:r w:rsidRPr="00085B8B">
        <w:rPr>
          <w:i/>
          <w:iCs/>
        </w:rPr>
        <w:t xml:space="preserve">LL,D; </w:t>
      </w:r>
      <w:r w:rsidRPr="00085B8B">
        <w:t xml:space="preserve">µm) based on the power law slope of the particle occurrence </w:t>
      </w:r>
      <w:r>
        <w:t xml:space="preserve">in the environment </w:t>
      </w:r>
      <w:r w:rsidRPr="00085B8B">
        <w:t>based on size (</w:t>
      </w:r>
      <w:r w:rsidRPr="00085B8B">
        <w:rPr>
          <w:i/>
          <w:iCs/>
        </w:rPr>
        <w:t>a</w:t>
      </w:r>
      <w:r w:rsidRPr="00085B8B">
        <w:t>, unitless), with the upper limit (</w:t>
      </w:r>
      <w:r w:rsidRPr="00085B8B">
        <w:rPr>
          <w:i/>
          <w:iCs/>
        </w:rPr>
        <w:t xml:space="preserve">UL, </w:t>
      </w:r>
      <w:proofErr w:type="spellStart"/>
      <w:r w:rsidRPr="00085B8B">
        <w:rPr>
          <w:i/>
          <w:iCs/>
        </w:rPr>
        <w:t>meas</w:t>
      </w:r>
      <w:proofErr w:type="spellEnd"/>
      <w:r w:rsidRPr="00085B8B">
        <w:rPr>
          <w:i/>
          <w:iCs/>
        </w:rPr>
        <w:t xml:space="preserve">; </w:t>
      </w:r>
      <w:r w:rsidRPr="00085B8B">
        <w:t>µm) and lower limit (</w:t>
      </w:r>
      <w:r w:rsidRPr="00085B8B">
        <w:rPr>
          <w:i/>
          <w:iCs/>
        </w:rPr>
        <w:t xml:space="preserve">LL, </w:t>
      </w:r>
      <w:proofErr w:type="spellStart"/>
      <w:r w:rsidRPr="00085B8B">
        <w:rPr>
          <w:i/>
          <w:iCs/>
        </w:rPr>
        <w:t>meas</w:t>
      </w:r>
      <w:proofErr w:type="spellEnd"/>
      <w:r w:rsidRPr="00085B8B">
        <w:rPr>
          <w:i/>
          <w:iCs/>
        </w:rPr>
        <w:t xml:space="preserve">; </w:t>
      </w:r>
      <w:r w:rsidRPr="00085B8B">
        <w:t>µm) defined by the size limits of quantification of the monitoring method employed (equation 2).</w:t>
      </w:r>
    </w:p>
    <w:p w14:paraId="1A49DBB8" w14:textId="77777777" w:rsidR="00B00466" w:rsidRPr="00085B8B" w:rsidRDefault="00B00466" w:rsidP="00B00466">
      <w:pPr>
        <w:spacing w:after="200" w:line="240" w:lineRule="auto"/>
        <w:jc w:val="center"/>
      </w:pPr>
      <w:r w:rsidRPr="00085B8B">
        <w:rPr>
          <w:b/>
        </w:rPr>
        <w:t>Equation 2</w:t>
      </w:r>
      <w:r w:rsidRPr="00085B8B">
        <w:tab/>
      </w:r>
      <m:oMath>
        <m:sSub>
          <m:sSubPr>
            <m:ctrlPr>
              <w:rPr>
                <w:rFonts w:ascii="Cambria Math" w:hAnsi="Cambria Math"/>
                <w:i/>
              </w:rPr>
            </m:ctrlPr>
          </m:sSubPr>
          <m:e>
            <m:r>
              <w:rPr>
                <w:rFonts w:ascii="Cambria Math" w:hAnsi="Cambria Math"/>
              </w:rPr>
              <m:t>CF</m:t>
            </m:r>
          </m:e>
          <m:sub>
            <m:r>
              <w:rPr>
                <w:rFonts w:ascii="Cambria Math" w:hAnsi="Cambria Math"/>
              </w:rPr>
              <m:t>bio (or meas)</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UL,D</m:t>
                </m:r>
              </m:sub>
              <m:sup>
                <m:r>
                  <w:rPr>
                    <w:rFonts w:ascii="Cambria Math" w:hAnsi="Cambria Math"/>
                  </w:rPr>
                  <m:t>1-a</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LL,D</m:t>
                </m:r>
              </m:sub>
              <m:sup>
                <m:r>
                  <w:rPr>
                    <w:rFonts w:ascii="Cambria Math" w:hAnsi="Cambria Math"/>
                  </w:rPr>
                  <m:t>1-a</m:t>
                </m:r>
              </m:sup>
            </m:sSubSup>
          </m:num>
          <m:den>
            <m:sSubSup>
              <m:sSubSupPr>
                <m:ctrlPr>
                  <w:rPr>
                    <w:rFonts w:ascii="Cambria Math" w:hAnsi="Cambria Math"/>
                  </w:rPr>
                </m:ctrlPr>
              </m:sSubSupPr>
              <m:e>
                <m:r>
                  <w:rPr>
                    <w:rFonts w:ascii="Cambria Math" w:hAnsi="Cambria Math"/>
                  </w:rPr>
                  <m:t>L</m:t>
                </m:r>
              </m:e>
              <m:sub>
                <m:r>
                  <w:rPr>
                    <w:rFonts w:ascii="Cambria Math" w:hAnsi="Cambria Math"/>
                  </w:rPr>
                  <m:t>UL,  bio (or meas)</m:t>
                </m:r>
              </m:sub>
              <m:sup>
                <m:r>
                  <w:rPr>
                    <w:rFonts w:ascii="Cambria Math" w:hAnsi="Cambria Math"/>
                  </w:rPr>
                  <m:t>1-a</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  bio (or meas)</m:t>
                </m:r>
              </m:sub>
              <m:sup>
                <m:r>
                  <w:rPr>
                    <w:rFonts w:ascii="Cambria Math" w:hAnsi="Cambria Math"/>
                  </w:rPr>
                  <m:t>1-a</m:t>
                </m:r>
              </m:sup>
            </m:sSubSup>
          </m:den>
        </m:f>
      </m:oMath>
    </w:p>
    <w:p w14:paraId="1E7EE5F5" w14:textId="77777777" w:rsidR="00B00466" w:rsidRPr="00085B8B" w:rsidRDefault="00B00466" w:rsidP="00B00466">
      <w:pPr>
        <w:spacing w:after="200" w:line="240" w:lineRule="auto"/>
      </w:pPr>
      <w:r w:rsidRPr="00085B8B">
        <w:tab/>
        <w:t>Equation 2 is used to align both measured environmental concentrations and polydisperse effect concentrations to a default size range</w:t>
      </w:r>
      <w:r>
        <w:t xml:space="preserve"> (1 – 5,000 </w:t>
      </w:r>
      <w:r w:rsidRPr="00085B8B">
        <w:t>µm</w:t>
      </w:r>
      <w:r>
        <w:t>)</w:t>
      </w:r>
      <w:r w:rsidRPr="00085B8B">
        <w:t>. Conversion of a monodisperse effect concentration (</w:t>
      </w:r>
      <w:proofErr w:type="spellStart"/>
      <w:r w:rsidRPr="00085B8B">
        <w:rPr>
          <w:i/>
          <w:iCs/>
        </w:rPr>
        <w:t>EC</w:t>
      </w:r>
      <w:r w:rsidRPr="00085B8B">
        <w:rPr>
          <w:i/>
          <w:iCs/>
          <w:vertAlign w:val="subscript"/>
        </w:rPr>
        <w:t>mono</w:t>
      </w:r>
      <w:proofErr w:type="spellEnd"/>
      <w:r w:rsidRPr="00085B8B">
        <w:t>) to a polydisperse effect concentration (</w:t>
      </w:r>
      <w:proofErr w:type="spellStart"/>
      <w:r w:rsidRPr="00085B8B">
        <w:rPr>
          <w:i/>
          <w:iCs/>
        </w:rPr>
        <w:t>EC</w:t>
      </w:r>
      <w:r w:rsidRPr="00085B8B">
        <w:rPr>
          <w:i/>
          <w:iCs/>
          <w:vertAlign w:val="subscript"/>
        </w:rPr>
        <w:t>poly</w:t>
      </w:r>
      <w:proofErr w:type="spellEnd"/>
      <w:r w:rsidRPr="00085B8B">
        <w:t xml:space="preserve">) requires consideration of the ecologically relevant metric (ERM) </w:t>
      </w:r>
      <w:r w:rsidRPr="00085B8B">
        <w:rPr>
          <w:i/>
          <w:iCs/>
        </w:rPr>
        <w:t>x</w:t>
      </w:r>
      <w:r w:rsidRPr="00085B8B">
        <w:t xml:space="preserve"> believed to be responsible for the observed toxicological effects (where </w:t>
      </w:r>
      <w:r w:rsidRPr="00085B8B">
        <w:rPr>
          <w:i/>
          <w:iCs/>
        </w:rPr>
        <w:t xml:space="preserve">x </w:t>
      </w:r>
      <w:r w:rsidRPr="00085B8B">
        <w:t xml:space="preserve">= volume for food dilution or </w:t>
      </w:r>
      <w:r w:rsidRPr="00085B8B">
        <w:rPr>
          <w:i/>
          <w:iCs/>
        </w:rPr>
        <w:t>x</w:t>
      </w:r>
      <w:r w:rsidRPr="00085B8B">
        <w:t xml:space="preserve"> = surface area for translocation) (equation 3).</w:t>
      </w:r>
    </w:p>
    <w:p w14:paraId="05489FC1" w14:textId="77777777" w:rsidR="00B00466" w:rsidRPr="00085B8B" w:rsidRDefault="00B00466" w:rsidP="00B00466">
      <w:pPr>
        <w:spacing w:after="200" w:line="240" w:lineRule="auto"/>
        <w:jc w:val="center"/>
      </w:pPr>
      <w:r w:rsidRPr="00085B8B">
        <w:rPr>
          <w:b/>
        </w:rPr>
        <w:t>Equation 3</w:t>
      </w:r>
      <w:r w:rsidRPr="00085B8B">
        <w:tab/>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x,poly</m:t>
            </m:r>
          </m:sub>
        </m:sSub>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x,mono</m:t>
            </m:r>
          </m:sub>
        </m:sSub>
      </m:oMath>
    </w:p>
    <w:p w14:paraId="4E2567FC" w14:textId="77777777" w:rsidR="00B00466" w:rsidRPr="00085B8B" w:rsidRDefault="00B00466" w:rsidP="00B00466">
      <w:pPr>
        <w:spacing w:after="200" w:line="240" w:lineRule="auto"/>
      </w:pPr>
      <w:r w:rsidRPr="00085B8B">
        <w:tab/>
        <w:t xml:space="preserve">Where </w:t>
      </w:r>
      <w:r w:rsidRPr="00085B8B">
        <w:rPr>
          <w:i/>
          <w:iCs/>
        </w:rPr>
        <w:t>µ</w:t>
      </w:r>
      <w:r w:rsidRPr="00085B8B">
        <w:rPr>
          <w:i/>
          <w:iCs/>
          <w:vertAlign w:val="subscript"/>
        </w:rPr>
        <w:t xml:space="preserve">x, poly </w:t>
      </w:r>
      <w:r w:rsidRPr="00085B8B">
        <w:t>is the mean value for ERM</w:t>
      </w:r>
      <w:r w:rsidRPr="00085B8B">
        <w:rPr>
          <w:i/>
          <w:iCs/>
        </w:rPr>
        <w:t xml:space="preserve"> x </w:t>
      </w:r>
      <w:r w:rsidRPr="00085B8B">
        <w:t xml:space="preserve">for polydisperse particles within a given bioavailable size distribution, and </w:t>
      </w:r>
      <w:r w:rsidRPr="00085B8B">
        <w:rPr>
          <w:i/>
          <w:iCs/>
        </w:rPr>
        <w:t>µ</w:t>
      </w:r>
      <w:r w:rsidRPr="00085B8B">
        <w:rPr>
          <w:i/>
          <w:iCs/>
          <w:vertAlign w:val="subscript"/>
        </w:rPr>
        <w:t>x, mono</w:t>
      </w:r>
      <w:r w:rsidRPr="00085B8B">
        <w:rPr>
          <w:i/>
          <w:iCs/>
        </w:rPr>
        <w:t xml:space="preserve"> </w:t>
      </w:r>
      <w:r w:rsidRPr="00085B8B">
        <w:t>is the mean value for ERM</w:t>
      </w:r>
      <w:r w:rsidRPr="00085B8B">
        <w:rPr>
          <w:i/>
          <w:iCs/>
        </w:rPr>
        <w:t xml:space="preserve"> x </w:t>
      </w:r>
      <w:r w:rsidRPr="00085B8B">
        <w:t>for the monodisperse effect concentration from the literature test data. When the suspected effect mechanism depends on ingestion of the particle, particles that are too large to be ingested by the organism of interest (i.e. wider than the mouth opening) are considered biologically unavailable (i.e. food dilution mechanism of action) and are excluded from alignment. Further, in the case of toxicity depending on tissue translocation, particles too large to be translocated through tissue (&gt;83 microns) are considered biologically unavailable and excluded from alignment. In the case of organisms that have mouth openings smaller than 83 microns, their mouth opening size is used as the upper limit for alignment.</w:t>
      </w:r>
    </w:p>
    <w:p w14:paraId="0C130338" w14:textId="77777777" w:rsidR="00B00466" w:rsidRPr="00EE2065" w:rsidRDefault="00B00466" w:rsidP="00B00466">
      <w:pPr>
        <w:pStyle w:val="Heading4"/>
        <w:rPr>
          <w:b/>
          <w:bCs/>
        </w:rPr>
      </w:pPr>
      <w:r w:rsidRPr="00EE2065">
        <w:rPr>
          <w:b/>
          <w:bCs/>
        </w:rPr>
        <w:lastRenderedPageBreak/>
        <w:t>Text for Supplementary</w:t>
      </w:r>
    </w:p>
    <w:p w14:paraId="506F388F" w14:textId="77777777" w:rsidR="00B00466" w:rsidRDefault="00B00466" w:rsidP="00B00466">
      <w:pPr>
        <w:pStyle w:val="Heading5"/>
      </w:pPr>
      <w:r>
        <w:t>Alignment of Monodisperse Effect Concentrations to Polydisperse Environmental Concentrations</w:t>
      </w:r>
    </w:p>
    <w:p w14:paraId="55D9AF26" w14:textId="77777777" w:rsidR="00B00466" w:rsidRDefault="00B00466" w:rsidP="00B00466">
      <w:pPr>
        <w:pStyle w:val="BodyText"/>
        <w:ind w:firstLine="720"/>
      </w:pPr>
      <w:r>
        <w:t xml:space="preserve">To illustrate the data alignment of converting monodisperse effect concentrations to polydisperse, environmentally realistic concentrations, a real example from the literature is used. Take for example, a NOEC of 562 particles/L for a chronic toxicity study for </w:t>
      </w:r>
      <w:r>
        <w:rPr>
          <w:i/>
          <w:iCs/>
        </w:rPr>
        <w:t>Daphnia</w:t>
      </w:r>
      <w:r w:rsidRPr="00CB7FF3">
        <w:rPr>
          <w:i/>
          <w:iCs/>
        </w:rPr>
        <w:t xml:space="preserve"> </w:t>
      </w:r>
      <w:r>
        <w:rPr>
          <w:i/>
          <w:iCs/>
        </w:rPr>
        <w:t>magna</w:t>
      </w:r>
      <w:r w:rsidRPr="005003EB">
        <w:t xml:space="preserve"> </w:t>
      </w:r>
      <w:r>
        <w:t xml:space="preserve">conducted using </w:t>
      </w:r>
      <w:r w:rsidRPr="005003EB">
        <w:t xml:space="preserve">40 </w:t>
      </w:r>
      <w:r>
        <w:rPr>
          <w:rFonts w:ascii="Calibri" w:hAnsi="Calibri" w:cs="Calibri"/>
        </w:rPr>
        <w:t>µ</w:t>
      </w:r>
      <w:r>
        <w:t>m-long</w:t>
      </w:r>
      <w:r w:rsidRPr="005003EB">
        <w:t xml:space="preserve"> </w:t>
      </w:r>
      <w:r>
        <w:t>polyethylene</w:t>
      </w:r>
      <w:r w:rsidRPr="005003EB">
        <w:t xml:space="preserve"> fragment</w:t>
      </w:r>
      <w:r>
        <w:t>s (</w:t>
      </w:r>
      <w:proofErr w:type="spellStart"/>
      <w:r>
        <w:t>Jaikumar</w:t>
      </w:r>
      <w:proofErr w:type="spellEnd"/>
      <w:r>
        <w:t xml:space="preserve"> et al 2018)</w:t>
      </w:r>
      <w:r w:rsidRPr="005003EB">
        <w:t xml:space="preserve">. </w:t>
      </w:r>
    </w:p>
    <w:p w14:paraId="1B211F8C" w14:textId="77777777" w:rsidR="00B00466" w:rsidRDefault="00B00466" w:rsidP="00B00466">
      <w:pPr>
        <w:pStyle w:val="BodyText"/>
        <w:ind w:firstLine="720"/>
      </w:pPr>
      <w:r>
        <w:t>Given an upper limit (UL) and lower limit (LL) of the measured and default size range, a dimensionless correction factor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oMath>
      <w:r>
        <w:t xml:space="preserve">) for measured environmental concentrations or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r>
          <w:rPr>
            <w:rFonts w:ascii="Cambria Math" w:hAnsi="Cambria Math"/>
          </w:rPr>
          <m:t>)</m:t>
        </m:r>
      </m:oMath>
      <w:r>
        <w:t xml:space="preserve"> for bioavailable effect concentrations may be calculated, which rescales the measured (M) or bioavailable (B) number concentrations for a certain size range to the number concentration for the microplastics default (D) size range (e.g. 1 to 5,000 um) according to the power law distribution for length (L) with slope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in Table S4 of Kooi et al (2021).</w:t>
      </w:r>
    </w:p>
    <w:p w14:paraId="60C3F00F" w14:textId="77777777" w:rsidR="00B00466" w:rsidRDefault="00B00466" w:rsidP="00B00466">
      <w:pPr>
        <w:pStyle w:val="FirstParagraph"/>
        <w:ind w:firstLine="720"/>
      </w:pPr>
      <w:proofErr w:type="gramStart"/>
      <w:r>
        <w:t>In order to</w:t>
      </w:r>
      <w:proofErr w:type="gramEnd"/>
      <w:r>
        <w:t xml:space="preserve"> convert the </w:t>
      </w:r>
      <w:r>
        <w:rPr>
          <w:i/>
          <w:iCs/>
        </w:rPr>
        <w:t>monodisperse</w:t>
      </w:r>
      <w:r>
        <w:t xml:space="preserve"> effect concentration to a </w:t>
      </w:r>
      <w:r>
        <w:rPr>
          <w:i/>
          <w:iCs/>
        </w:rPr>
        <w:t>polydisperse</w:t>
      </w:r>
      <w:r>
        <w:t xml:space="preserve"> mixture of microplastic particles, a correction must occur which takes into consideration the ecologically relevant metric (ERM) (Koelmans et al 2017). For a given ERM, the threshold may be related to both mono- or polydisperse particles interchangeably so long as the total magnitude of ERM remains the same using equation S1 (Koelmans et al, 2020).</w:t>
      </w:r>
    </w:p>
    <w:p w14:paraId="57DD641D" w14:textId="77777777" w:rsidR="00B00466" w:rsidRDefault="00B00466" w:rsidP="00B00466">
      <w:pPr>
        <w:pStyle w:val="BodyText"/>
        <w:ind w:left="720" w:firstLine="720"/>
      </w:pPr>
      <w:r w:rsidRPr="00413AC1">
        <w:rPr>
          <w:rFonts w:eastAsiaTheme="minorEastAsia"/>
          <w:b/>
          <w:bCs/>
        </w:rPr>
        <w:t>Equation S1.</w:t>
      </w:r>
      <w:r>
        <w:rPr>
          <w:rFonts w:eastAsiaTheme="minorEastAsia"/>
        </w:rPr>
        <w:t xml:space="preserve"> </w:t>
      </w:r>
      <w:r>
        <w:rPr>
          <w:rFonts w:eastAsiaTheme="minorEastAsia"/>
        </w:rPr>
        <w:tab/>
      </w:r>
      <w:r>
        <w:rPr>
          <w:rFonts w:eastAsiaTheme="minorEastAsia"/>
        </w:rPr>
        <w:tab/>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r>
          <m:rPr>
            <m:sty m:val="p"/>
          </m:rP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oMath>
    </w:p>
    <w:p w14:paraId="63567F41" w14:textId="77777777" w:rsidR="00B00466" w:rsidRDefault="00B00466" w:rsidP="00B00466">
      <w:pPr>
        <w:pStyle w:val="BodyText"/>
        <w:ind w:firstLine="720"/>
      </w:pPr>
      <w:r>
        <w:t xml:space="preserve">In this example of a monodisperse effect concentration for </w:t>
      </w:r>
      <w:r>
        <w:rPr>
          <w:i/>
          <w:iCs/>
        </w:rPr>
        <w:t>Daphnia magna</w:t>
      </w:r>
      <w:r>
        <w:t xml:space="preserve">,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is in particle count per volume (i.e. 562 particles/L), and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oMath>
      <w:r>
        <w:t xml:space="preserve"> is the mean value of the ERM of interest in this study, which in the case of particle count, is 1. Particles follow a power law regime in the marine environment, so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oMath>
      <w:r>
        <w:t xml:space="preserve"> may be calculated using equation S2 (</w:t>
      </w:r>
      <w:proofErr w:type="spellStart"/>
      <w:r>
        <w:t>Kooi</w:t>
      </w:r>
      <w:proofErr w:type="spellEnd"/>
      <w:r>
        <w:t xml:space="preserve"> et al 2021).</w:t>
      </w:r>
    </w:p>
    <w:p w14:paraId="085CCED6" w14:textId="77777777" w:rsidR="00B00466" w:rsidRDefault="00B00466" w:rsidP="00B00466">
      <w:pPr>
        <w:pStyle w:val="BodyText"/>
        <w:ind w:left="720" w:firstLine="720"/>
      </w:pPr>
      <w:r w:rsidRPr="00413AC1">
        <w:rPr>
          <w:rFonts w:eastAsiaTheme="minorEastAsia"/>
          <w:b/>
          <w:bCs/>
        </w:rPr>
        <w:t>Equation S</w:t>
      </w:r>
      <w:r>
        <w:rPr>
          <w:rFonts w:eastAsiaTheme="minorEastAsia"/>
          <w:b/>
          <w:bCs/>
        </w:rPr>
        <w:t>2</w:t>
      </w:r>
      <w:r w:rsidRPr="00413AC1">
        <w:rPr>
          <w:rFonts w:eastAsiaTheme="minorEastAsia"/>
          <w:b/>
          <w:bCs/>
        </w:rPr>
        <w:t>.</w:t>
      </w: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num>
          <m:den>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den>
        </m:f>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UL</m:t>
                </m:r>
              </m:sub>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LL</m:t>
                </m:r>
              </m:sub>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p>
            </m:sSubSup>
          </m:num>
          <m:den>
            <m:sSubSup>
              <m:sSubSupPr>
                <m:ctrlPr>
                  <w:rPr>
                    <w:rFonts w:ascii="Cambria Math" w:hAnsi="Cambria Math"/>
                  </w:rPr>
                </m:ctrlPr>
              </m:sSubSupPr>
              <m:e>
                <m:r>
                  <w:rPr>
                    <w:rFonts w:ascii="Cambria Math" w:hAnsi="Cambria Math"/>
                  </w:rPr>
                  <m:t>X</m:t>
                </m:r>
              </m:e>
              <m:sub>
                <m:r>
                  <w:rPr>
                    <w:rFonts w:ascii="Cambria Math" w:hAnsi="Cambria Math"/>
                  </w:rPr>
                  <m:t>UL</m:t>
                </m:r>
              </m:sub>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LL</m:t>
                </m:r>
              </m:sub>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p>
            </m:sSubSup>
          </m:den>
        </m:f>
      </m:oMath>
    </w:p>
    <w:p w14:paraId="6B77A2A2" w14:textId="77777777" w:rsidR="00B00466" w:rsidRDefault="00B00466" w:rsidP="00B00466">
      <w:pPr>
        <w:pStyle w:val="BodyText"/>
        <w:ind w:firstLine="720"/>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relates to the power law distribution of microplastic particles in the marine environment (i.e. particle length; 2.07; </w:t>
      </w:r>
      <w:proofErr w:type="spellStart"/>
      <w:r>
        <w:t>Kooi</w:t>
      </w:r>
      <w:proofErr w:type="spellEnd"/>
      <w:r>
        <w:t xml:space="preserve"> et al 2021), and UL and LL are the upper and lower limits of bioavailability for this species/life stage/effect metric, respectively. In this example, the organism of interest is </w:t>
      </w:r>
      <w:r>
        <w:rPr>
          <w:i/>
          <w:iCs/>
        </w:rPr>
        <w:t>Daphnia magna</w:t>
      </w:r>
      <w:r>
        <w:t xml:space="preserve">, which has an average body length of 0.5 cm, and an estimated maximum ingestible particle width of 115 </w:t>
      </w:r>
      <w:r>
        <w:rPr>
          <w:rFonts w:ascii="Calibri" w:hAnsi="Calibri" w:cs="Calibri"/>
        </w:rPr>
        <w:t>µ</w:t>
      </w:r>
      <w:r>
        <w:t>m particles based on average mouth size opening (</w:t>
      </w:r>
      <w:proofErr w:type="spellStart"/>
      <w:r w:rsidRPr="008277F0">
        <w:t>J</w:t>
      </w:r>
      <w:r>
        <w:t>âms</w:t>
      </w:r>
      <w:proofErr w:type="spellEnd"/>
      <w:r>
        <w:t xml:space="preserve"> et al 2020). Therefore, </w:t>
      </w:r>
      <m:oMath>
        <m:sSub>
          <m:sSubPr>
            <m:ctrlPr>
              <w:rPr>
                <w:rFonts w:ascii="Cambria Math" w:hAnsi="Cambria Math"/>
              </w:rPr>
            </m:ctrlPr>
          </m:sSub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m</m:t>
            </m:r>
          </m:sub>
        </m:sSub>
      </m:oMath>
      <w:r>
        <w:t xml:space="preserve"> would be equivale</w:t>
      </w:r>
      <w:proofErr w:type="spellStart"/>
      <w:r>
        <w:t>nt</w:t>
      </w:r>
      <w:proofErr w:type="spellEnd"/>
      <w:r>
        <w:t xml:space="preserve"> to 115 </w:t>
      </w:r>
      <w:r>
        <w:rPr>
          <w:rFonts w:ascii="Calibri" w:hAnsi="Calibri" w:cs="Calibri"/>
        </w:rPr>
        <w:t>µ</w:t>
      </w:r>
      <w:r>
        <w:t xml:space="preserve">m, and </w:t>
      </w:r>
      <m:oMath>
        <m:sSub>
          <m:sSubPr>
            <m:ctrlPr>
              <w:rPr>
                <w:rFonts w:ascii="Cambria Math" w:hAnsi="Cambria Math"/>
              </w:rPr>
            </m:ctrlPr>
          </m:sSub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m</m:t>
            </m:r>
          </m:sub>
        </m:sSub>
      </m:oMath>
      <w:r>
        <w:t xml:space="preserve"> would be the lower default size range (1 </w:t>
      </w:r>
      <w:r>
        <w:rPr>
          <w:rFonts w:ascii="Calibri" w:hAnsi="Calibri" w:cs="Calibri"/>
        </w:rPr>
        <w:t>µ</w:t>
      </w:r>
      <w:r>
        <w:t xml:space="preserve">m). Note that if bioavailability for an ERM of interest is based on a different parameter (for example, tissue translocation potential), </w:t>
      </w:r>
      <m:oMath>
        <m:sSub>
          <m:sSubPr>
            <m:ctrlPr>
              <w:rPr>
                <w:rFonts w:ascii="Cambria Math" w:hAnsi="Cambria Math"/>
              </w:rPr>
            </m:ctrlPr>
          </m:sSub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m</m:t>
            </m:r>
          </m:sub>
        </m:sSub>
      </m:oMath>
      <w:r>
        <w:t xml:space="preserve"> would be equivalent to that size (i.e. 83 </w:t>
      </w:r>
      <w:r>
        <w:rPr>
          <w:rFonts w:ascii="Calibri" w:hAnsi="Calibri" w:cs="Calibri"/>
        </w:rPr>
        <w:t>µ</w:t>
      </w:r>
      <w:r>
        <w:t xml:space="preserve">m).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oMath>
      <w:r>
        <w:t xml:space="preserve"> for particles for the 1-115 µm fraction in the marine environment is calculated as 4.35.</w:t>
      </w:r>
    </w:p>
    <w:p w14:paraId="67A71836" w14:textId="77777777" w:rsidR="00B00466" w:rsidRDefault="00B00466" w:rsidP="00B00466">
      <w:pPr>
        <w:pStyle w:val="FirstParagraph"/>
      </w:pPr>
      <w:r>
        <w:t xml:space="preserve">Now that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oMath>
      <w:r>
        <w:t xml:space="preserve">, and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are known for this example, the </w:t>
      </w:r>
      <w:r>
        <w:rPr>
          <w:i/>
          <w:iCs/>
        </w:rPr>
        <w:t>bioavailable</w:t>
      </w:r>
      <w:r>
        <w:t xml:space="preserve"> </w:t>
      </w:r>
      <w:r>
        <w:rPr>
          <w:i/>
          <w:iCs/>
        </w:rPr>
        <w:t>polydisperse</w:t>
      </w:r>
      <w:r>
        <w:t xml:space="preserve"> effect concentration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may then be calculated using equation S3:</w:t>
      </w:r>
    </w:p>
    <w:p w14:paraId="1058B719" w14:textId="77777777" w:rsidR="00B00466" w:rsidRDefault="00B00466" w:rsidP="00B00466">
      <w:pPr>
        <w:pStyle w:val="BodyText"/>
        <w:ind w:left="1440" w:firstLine="720"/>
      </w:pPr>
      <w:r w:rsidRPr="00F31106">
        <w:rPr>
          <w:rFonts w:eastAsiaTheme="minorEastAsia"/>
          <w:b/>
          <w:bCs/>
        </w:rPr>
        <w:lastRenderedPageBreak/>
        <w:t>Equation S3.</w:t>
      </w:r>
      <w:r>
        <w:rPr>
          <w:rFonts w:eastAsiaTheme="minorEastAsia"/>
        </w:rPr>
        <w:tab/>
      </w:r>
      <w:r>
        <w:rPr>
          <w:rFonts w:eastAsiaTheme="minorEastAsia"/>
        </w:rPr>
        <w:tab/>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r>
          <m:rPr>
            <m:sty m:val="p"/>
          </m:rPr>
          <w:rPr>
            <w:rFonts w:ascii="Cambria Math" w:hAnsi="Cambria Math"/>
          </w:rPr>
          <m:t>=</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num>
          <m:den>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poly</m:t>
                </m:r>
              </m:sub>
            </m:sSub>
          </m:den>
        </m:f>
      </m:oMath>
    </w:p>
    <w:p w14:paraId="3674E7A4" w14:textId="77777777" w:rsidR="00B00466" w:rsidRDefault="00B00466" w:rsidP="00B00466">
      <w:pPr>
        <w:pStyle w:val="FirstParagraph"/>
        <w:ind w:firstLine="720"/>
      </w:pP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for this </w:t>
      </w:r>
      <w:proofErr w:type="gramStart"/>
      <w:r>
        <w:t>example</w:t>
      </w:r>
      <w:proofErr w:type="gramEnd"/>
      <w:r>
        <w:t xml:space="preserve"> is 129.4 particles/L. Now that the </w:t>
      </w:r>
      <w:r>
        <w:rPr>
          <w:i/>
          <w:iCs/>
        </w:rPr>
        <w:t>bioavailable</w:t>
      </w:r>
      <w:r>
        <w:t xml:space="preserve">, </w:t>
      </w:r>
      <w:r>
        <w:rPr>
          <w:i/>
          <w:iCs/>
        </w:rPr>
        <w:t>polydisperse</w:t>
      </w:r>
      <w:r>
        <w:t xml:space="preserve"> effect concentration is known for this example, in order to relate this threshold effect concentration to an </w:t>
      </w:r>
      <w:r>
        <w:rPr>
          <w:i/>
          <w:iCs/>
        </w:rPr>
        <w:t>environmentally relevant</w:t>
      </w:r>
      <w:r>
        <w:t xml:space="preserve"> (e.g. 1 - 5,000 um) range of particles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sub>
        </m:sSub>
      </m:oMath>
      <w:r>
        <w:t>; particles/L) a further correction must occur using equation S4 (</w:t>
      </w:r>
      <w:proofErr w:type="spellStart"/>
      <w:r>
        <w:t>Kooi</w:t>
      </w:r>
      <w:proofErr w:type="spellEnd"/>
      <w:r>
        <w:t xml:space="preserve"> et al 2021).</w:t>
      </w:r>
    </w:p>
    <w:p w14:paraId="3DE742D7" w14:textId="77777777" w:rsidR="00B00466" w:rsidRDefault="00B00466" w:rsidP="00B00466">
      <w:pPr>
        <w:pStyle w:val="BodyText"/>
        <w:ind w:left="1440" w:firstLine="720"/>
      </w:pPr>
      <w:r w:rsidRPr="00EA7F10">
        <w:rPr>
          <w:rFonts w:eastAsiaTheme="minorEastAsia"/>
          <w:b/>
          <w:bCs/>
        </w:rPr>
        <w:t>Equation S4.</w:t>
      </w:r>
      <w:r>
        <w:rPr>
          <w:rFonts w:eastAsiaTheme="minorEastAsia"/>
        </w:rPr>
        <w:tab/>
      </w:r>
      <w:r>
        <w:rPr>
          <w:rFonts w:eastAsiaTheme="minorEastAsia"/>
        </w:rPr>
        <w:tab/>
        <w:t xml:space="preserve">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sub>
        </m:sSub>
        <m:r>
          <m:rPr>
            <m:sty m:val="p"/>
          </m:rP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p>
    <w:p w14:paraId="6BFBF7C9" w14:textId="77777777" w:rsidR="00B00466" w:rsidRDefault="00B00466" w:rsidP="00B00466">
      <w:pPr>
        <w:pStyle w:val="BodyText"/>
        <w:ind w:firstLine="720"/>
      </w:pPr>
      <w:r>
        <w:t xml:space="preserve">Where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is a dimensionless correction factor for the bioavailable effect </w:t>
      </w:r>
      <w:proofErr w:type="gramStart"/>
      <w:r>
        <w:t>concentration.</w:t>
      </w:r>
      <w:proofErr w:type="gramEnd"/>
      <w:r>
        <w:t xml:space="preserve"> Equation S4 rescales the bioavailable effect concentration (particles/L) to an environmentally relevant concentration for the microplastics default (D) size range (e.g. 1 to 5,000 um) according to the power law distribution for length (L) with slope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in the marine environment (i.e. 2.07) (</w:t>
      </w:r>
      <w:proofErr w:type="spellStart"/>
      <w:r>
        <w:t>Kooi</w:t>
      </w:r>
      <w:proofErr w:type="spellEnd"/>
      <w:r>
        <w:t xml:space="preserve"> et al, 2021).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is calculated using equation S5. (</w:t>
      </w:r>
      <w:proofErr w:type="spellStart"/>
      <w:r>
        <w:t>Kooi</w:t>
      </w:r>
      <w:proofErr w:type="spellEnd"/>
      <w:r>
        <w:t xml:space="preserve"> et al 2021):</w:t>
      </w:r>
    </w:p>
    <w:p w14:paraId="3C5DD760" w14:textId="77777777" w:rsidR="00B00466" w:rsidRDefault="00B00466" w:rsidP="00B00466">
      <w:pPr>
        <w:pStyle w:val="BodyText"/>
        <w:ind w:left="1440" w:firstLine="720"/>
      </w:pPr>
      <w:r w:rsidRPr="00EA7F10">
        <w:rPr>
          <w:rFonts w:eastAsiaTheme="minorEastAsia"/>
          <w:b/>
          <w:bCs/>
        </w:rPr>
        <w:t>Equation S</w:t>
      </w:r>
      <w:r>
        <w:rPr>
          <w:rFonts w:eastAsiaTheme="minorEastAsia"/>
          <w:b/>
          <w:bCs/>
        </w:rPr>
        <w:t>5</w:t>
      </w:r>
      <w:r w:rsidRPr="00EA7F10">
        <w:rPr>
          <w:rFonts w:eastAsiaTheme="minorEastAsia"/>
          <w:b/>
          <w:bCs/>
        </w:rPr>
        <w:t>.</w:t>
      </w:r>
      <w:r>
        <w:rPr>
          <w:rFonts w:eastAsiaTheme="minorEastAsia"/>
          <w:b/>
          <w:bCs/>
        </w:rPr>
        <w:tab/>
      </w:r>
      <w:r>
        <w:rPr>
          <w:rFonts w:eastAsiaTheme="minorEastAsia"/>
          <w:b/>
          <w:bCs/>
        </w:rPr>
        <w:tab/>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D</m:t>
                </m:r>
              </m:sub>
              <m:sup>
                <m:r>
                  <w:rPr>
                    <w:rFonts w:ascii="Cambria Math" w:hAnsi="Cambria Math"/>
                  </w:rPr>
                  <m:t>1</m:t>
                </m:r>
                <m:r>
                  <m:rPr>
                    <m:sty m:val="p"/>
                  </m:rPr>
                  <w:rPr>
                    <w:rFonts w:ascii="Cambria Math" w:hAnsi="Cambria Math"/>
                  </w:rPr>
                  <m:t>-</m:t>
                </m:r>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D</m:t>
                </m:r>
              </m:sub>
              <m:sup>
                <m:r>
                  <w:rPr>
                    <w:rFonts w:ascii="Cambria Math" w:hAnsi="Cambria Math"/>
                  </w:rPr>
                  <m:t>1</m:t>
                </m:r>
                <m:r>
                  <m:rPr>
                    <m:sty m:val="p"/>
                  </m:rPr>
                  <w:rPr>
                    <w:rFonts w:ascii="Cambria Math" w:hAnsi="Cambria Math"/>
                  </w:rPr>
                  <m:t>-</m:t>
                </m:r>
                <m:r>
                  <w:rPr>
                    <w:rFonts w:ascii="Cambria Math" w:hAnsi="Cambria Math"/>
                  </w:rPr>
                  <m:t>a</m:t>
                </m:r>
              </m:sup>
            </m:sSubSup>
          </m:num>
          <m:den>
            <m:sSubSup>
              <m:sSubSupPr>
                <m:ctrlPr>
                  <w:rPr>
                    <w:rFonts w:ascii="Cambria Math" w:hAnsi="Cambria Math"/>
                  </w:rPr>
                </m:ctrlPr>
              </m:sSubSup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B</m:t>
                </m:r>
              </m:sub>
              <m:sup>
                <m:r>
                  <w:rPr>
                    <w:rFonts w:ascii="Cambria Math" w:hAnsi="Cambria Math"/>
                  </w:rPr>
                  <m:t>1</m:t>
                </m:r>
                <m:r>
                  <m:rPr>
                    <m:sty m:val="p"/>
                  </m:rPr>
                  <w:rPr>
                    <w:rFonts w:ascii="Cambria Math" w:hAnsi="Cambria Math"/>
                  </w:rPr>
                  <m:t>-</m:t>
                </m:r>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B</m:t>
                </m:r>
              </m:sub>
              <m:sup>
                <m:r>
                  <w:rPr>
                    <w:rFonts w:ascii="Cambria Math" w:hAnsi="Cambria Math"/>
                  </w:rPr>
                  <m:t>1</m:t>
                </m:r>
                <m:r>
                  <m:rPr>
                    <m:sty m:val="p"/>
                  </m:rPr>
                  <w:rPr>
                    <w:rFonts w:ascii="Cambria Math" w:hAnsi="Cambria Math"/>
                  </w:rPr>
                  <m:t>-</m:t>
                </m:r>
                <m:r>
                  <w:rPr>
                    <w:rFonts w:ascii="Cambria Math" w:hAnsi="Cambria Math"/>
                  </w:rPr>
                  <m:t>a</m:t>
                </m:r>
              </m:sup>
            </m:sSubSup>
          </m:den>
        </m:f>
      </m:oMath>
    </w:p>
    <w:p w14:paraId="771C535D" w14:textId="77777777" w:rsidR="00B00466" w:rsidRDefault="00B00466" w:rsidP="00B00466">
      <w:pPr>
        <w:pStyle w:val="BodyText"/>
        <w:ind w:firstLine="720"/>
      </w:pPr>
      <w:r>
        <w:t>In this example, the organism of interest (</w:t>
      </w:r>
      <w:proofErr w:type="spellStart"/>
      <w:r>
        <w:rPr>
          <w:i/>
          <w:iCs/>
        </w:rPr>
        <w:t>Dapnhia</w:t>
      </w:r>
      <w:proofErr w:type="spellEnd"/>
      <w:r>
        <w:rPr>
          <w:i/>
          <w:iCs/>
        </w:rPr>
        <w:t xml:space="preserve"> magna</w:t>
      </w:r>
      <w:r>
        <w:t>) has an estimated maximum ingestible size range (</w:t>
      </w:r>
      <m:oMath>
        <m:sSub>
          <m:sSubPr>
            <m:ctrlPr>
              <w:rPr>
                <w:rFonts w:ascii="Cambria Math" w:hAnsi="Cambria Math"/>
              </w:rPr>
            </m:ctrlPr>
          </m:sSub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B</m:t>
            </m:r>
          </m:sub>
        </m:sSub>
      </m:oMath>
      <w:r>
        <w:t xml:space="preserve">) of ~115 µm-wide particles, and </w:t>
      </w:r>
      <m:oMath>
        <m:sSub>
          <m:sSubPr>
            <m:ctrlPr>
              <w:rPr>
                <w:rFonts w:ascii="Cambria Math" w:hAnsi="Cambria Math"/>
              </w:rPr>
            </m:ctrlPr>
          </m:sSub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B</m:t>
            </m:r>
          </m:sub>
        </m:sSub>
      </m:oMath>
      <w:r>
        <w:t xml:space="preserve"> would be the default lower size range 1 µm. Further, the upper limit (</w:t>
      </w:r>
      <w:proofErr w:type="gramStart"/>
      <w:r>
        <w:t>UL,D</w:t>
      </w:r>
      <w:proofErr w:type="gramEnd"/>
      <w:r>
        <w:t xml:space="preserve">) and lower limit (LL,D) of the default size range are 5,000 and 1 µm, respectively.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rPr>
          <w:rFonts w:eastAsiaTheme="minorEastAsia"/>
        </w:rPr>
        <w:t xml:space="preserve">equates to 1.006. </w:t>
      </w:r>
      <w:r>
        <w:t xml:space="preserve">Finally, the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sub>
        </m:sSub>
      </m:oMath>
      <w:r>
        <w:t xml:space="preserve"> is calculated for particles/L as an ERM using e</w:t>
      </w:r>
      <w:r w:rsidRPr="00F9592A">
        <w:rPr>
          <w:rFonts w:ascii="Arial" w:hAnsi="Arial" w:cs="Arial"/>
          <w:sz w:val="22"/>
          <w:szCs w:val="22"/>
        </w:rPr>
        <w:t>quation S4 (</w:t>
      </w:r>
      <m:oMath>
        <m:r>
          <w:rPr>
            <w:rFonts w:ascii="Cambria Math" w:hAnsi="Cambria Math" w:cs="Arial"/>
            <w:sz w:val="22"/>
            <w:szCs w:val="22"/>
          </w:rPr>
          <m:t>E</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env</m:t>
            </m:r>
          </m:sub>
        </m:sSub>
      </m:oMath>
      <w:r w:rsidRPr="00F9592A">
        <w:rPr>
          <w:rFonts w:ascii="Arial" w:hAnsi="Arial" w:cs="Arial"/>
          <w:sz w:val="22"/>
          <w:szCs w:val="22"/>
        </w:rPr>
        <w:t xml:space="preserve">  = </w:t>
      </w:r>
      <w:r w:rsidRPr="00F9592A">
        <w:rPr>
          <w:rStyle w:val="VerbatimChar"/>
          <w:rFonts w:ascii="Arial" w:hAnsi="Arial" w:cs="Arial"/>
          <w:sz w:val="22"/>
          <w:szCs w:val="22"/>
        </w:rPr>
        <w:t xml:space="preserve">130 </w:t>
      </w:r>
      <w:r>
        <w:rPr>
          <w:rStyle w:val="VerbatimChar"/>
          <w:rFonts w:ascii="Arial" w:hAnsi="Arial" w:cs="Arial"/>
          <w:sz w:val="22"/>
          <w:szCs w:val="22"/>
        </w:rPr>
        <w:t>p</w:t>
      </w:r>
      <w:r w:rsidRPr="00F9592A">
        <w:rPr>
          <w:rStyle w:val="VerbatimChar"/>
          <w:rFonts w:ascii="Arial" w:hAnsi="Arial" w:cs="Arial"/>
          <w:sz w:val="22"/>
          <w:szCs w:val="22"/>
        </w:rPr>
        <w:t>articles/L)."</w:t>
      </w:r>
    </w:p>
    <w:p w14:paraId="14B720A8" w14:textId="77777777" w:rsidR="00B00466" w:rsidRDefault="00B00466" w:rsidP="00B00466">
      <w:pPr>
        <w:pStyle w:val="Heading6"/>
      </w:pPr>
      <w:bookmarkStart w:id="0" w:name="volume"/>
      <w:r>
        <w:t>Volume</w:t>
      </w:r>
    </w:p>
    <w:p w14:paraId="506C88E6" w14:textId="77777777" w:rsidR="00B00466" w:rsidRDefault="00B00466" w:rsidP="00B00466">
      <w:pPr>
        <w:pStyle w:val="FirstParagraph"/>
        <w:ind w:firstLine="720"/>
      </w:pPr>
      <w:r>
        <w:t xml:space="preserve">In the case of an ERM of interest being volume,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oMath>
      <w:r>
        <w:t xml:space="preserve"> is equivalent to the average volume of a the monodisperse particle (i.e.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oMath>
      <w:r>
        <w:t>), c</w:t>
      </w:r>
      <w:proofErr w:type="spellStart"/>
      <w:r>
        <w:t>alculated</w:t>
      </w:r>
      <w:proofErr w:type="spellEnd"/>
      <w:r>
        <w:t xml:space="preserve"> using equation S6.</w:t>
      </w:r>
    </w:p>
    <w:p w14:paraId="6ECCBE69" w14:textId="77777777" w:rsidR="00B00466" w:rsidRDefault="00B00466" w:rsidP="00B00466">
      <w:pPr>
        <w:pStyle w:val="BodyText"/>
        <w:ind w:left="1440" w:firstLine="720"/>
      </w:pPr>
      <w:r w:rsidRPr="00D03648">
        <w:rPr>
          <w:rFonts w:eastAsiaTheme="minorEastAsia"/>
          <w:b/>
          <w:bCs/>
        </w:rPr>
        <w:t>Equation S6.</w:t>
      </w:r>
      <w:r>
        <w:rPr>
          <w:rFonts w:eastAsiaTheme="minorEastAsia"/>
          <w:b/>
          <w:bCs/>
        </w:rPr>
        <w:tab/>
      </w:r>
      <w:r>
        <w:rPr>
          <w:rFonts w:eastAsiaTheme="minorEastAsia"/>
          <w:b/>
          <w:bCs/>
        </w:rPr>
        <w:tab/>
      </w:r>
      <w:r>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πabc</m:t>
        </m:r>
      </m:oMath>
    </w:p>
    <w:p w14:paraId="3FB1C0B3" w14:textId="77777777" w:rsidR="00B00466" w:rsidRDefault="00B00466" w:rsidP="00B00466">
      <w:pPr>
        <w:pStyle w:val="BodyText"/>
        <w:ind w:firstLine="720"/>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volume for a given particle </w:t>
      </w:r>
      <w:proofErr w:type="spellStart"/>
      <w:r>
        <w:rPr>
          <w:i/>
          <w:iCs/>
        </w:rPr>
        <w:t>i</w:t>
      </w:r>
      <w:proofErr w:type="spellEnd"/>
      <w:r>
        <w:t xml:space="preserve">, and </w:t>
      </w:r>
      <w:r w:rsidRPr="00F1605F">
        <w:rPr>
          <w:i/>
          <w:iCs/>
        </w:rPr>
        <w:t>a</w:t>
      </w:r>
      <w:r>
        <w:t xml:space="preserve">, </w:t>
      </w:r>
      <w:r w:rsidRPr="00F1605F">
        <w:rPr>
          <w:i/>
          <w:iCs/>
        </w:rPr>
        <w:t>b</w:t>
      </w:r>
      <w:r>
        <w:t xml:space="preserve">, and </w:t>
      </w:r>
      <w:r w:rsidRPr="00F1605F">
        <w:rPr>
          <w:i/>
          <w:iCs/>
        </w:rPr>
        <w:t>c</w:t>
      </w:r>
      <w:r>
        <w:t xml:space="preserve"> are radii along the principal axes, corresponding to one-half times the length, width, and height of an ellipsoid. Upper and lower limits of bioavailability for volume correspond to the maximum ingestible size of particles and the lower limit of the size range to be aligned to (1 µm).</w:t>
      </w:r>
    </w:p>
    <w:p w14:paraId="213A64ED" w14:textId="77777777" w:rsidR="00B00466" w:rsidRDefault="00B00466" w:rsidP="00B00466">
      <w:pPr>
        <w:pStyle w:val="BodyText"/>
        <w:ind w:firstLine="720"/>
      </w:pPr>
      <w:r>
        <w:t>Equation S6 can be applied to fragments, thin films, microbeads, spheres, or fibers given a known length to width ratios for such shapes, with the height assumed to be equivalent to 0.67 x width (</w:t>
      </w:r>
      <w:proofErr w:type="spellStart"/>
      <w:r>
        <w:t>Kooi</w:t>
      </w:r>
      <w:proofErr w:type="spellEnd"/>
      <w:r>
        <w:t xml:space="preserve"> et al 2021). Width to length ratios differ for microplastics differ by compartment, with averages ranging from 0.67 to 0.77 (</w:t>
      </w:r>
      <w:proofErr w:type="spellStart"/>
      <w:r>
        <w:t>Kooi</w:t>
      </w:r>
      <w:proofErr w:type="spellEnd"/>
      <w:r>
        <w:t xml:space="preserve"> et al 2021). Averaged values may be used to estimate the volume of polydisperse environmental mixtures of microplastics. Substituting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the length to width ratio of a particles, the formula simplifies to:</w:t>
      </w:r>
    </w:p>
    <w:p w14:paraId="583EA007" w14:textId="77777777" w:rsidR="00B00466" w:rsidRDefault="00B00466" w:rsidP="00B00466">
      <w:pPr>
        <w:pStyle w:val="BodyText"/>
        <w:ind w:left="1440" w:firstLine="720"/>
      </w:pPr>
      <w:r w:rsidRPr="006B209C">
        <w:rPr>
          <w:rFonts w:eastAsiaTheme="minorEastAsia"/>
          <w:b/>
          <w:bCs/>
        </w:rPr>
        <w:t>Equation S7.</w:t>
      </w:r>
      <w:r>
        <w:rPr>
          <w:rFonts w:eastAsiaTheme="minorEastAsia"/>
        </w:rPr>
        <w:t xml:space="preserve"> </w:t>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0.111667</m:t>
        </m:r>
        <m:r>
          <m:rPr>
            <m:sty m:val="p"/>
          </m:rPr>
          <w:rPr>
            <w:rFonts w:ascii="Cambria Math" w:hAnsi="Cambria Math"/>
          </w:rPr>
          <m:t>*</m:t>
        </m:r>
        <m:r>
          <w:rPr>
            <w:rFonts w:ascii="Cambria Math" w:hAnsi="Cambria Math"/>
          </w:rPr>
          <m:t>pi</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3</m:t>
            </m:r>
          </m:sup>
        </m:sSubSup>
      </m:oMath>
    </w:p>
    <w:p w14:paraId="758E14C4" w14:textId="77777777" w:rsidR="00B00466" w:rsidRDefault="00B00466" w:rsidP="00B00466">
      <w:pPr>
        <w:pStyle w:val="BodyText"/>
        <w:ind w:firstLine="720"/>
        <w:rPr>
          <w:rStyle w:val="VerbatimChar"/>
        </w:rPr>
      </w:pPr>
      <w:r>
        <w:lastRenderedPageBreak/>
        <w:t xml:space="preserve">Where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the length of the particle (µm) and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width:length ratio of the particle </w:t>
      </w:r>
      <w:proofErr w:type="gramStart"/>
      <w:r>
        <w:t>(unitless).</w:t>
      </w:r>
      <w:proofErr w:type="gramEnd"/>
      <w:r>
        <w:t xml:space="preserve"> For the example of a 40 µm PE fragment, the length was reported by the authors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40μm</m:t>
        </m:r>
      </m:oMath>
      <w:r>
        <w:t>) (</w:t>
      </w:r>
      <w:proofErr w:type="spellStart"/>
      <w:r>
        <w:t>Jaikumar</w:t>
      </w:r>
      <w:proofErr w:type="spellEnd"/>
      <w:r>
        <w:t xml:space="preserve"> et al 2018), however the width was not directly reported, so a default value of 0.77 is used, which is the average for marine surface water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0.77</m:t>
        </m:r>
      </m:oMath>
      <w:r>
        <w:t xml:space="preserve">). Accordingly,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oMath>
      <w:r>
        <w:t xml:space="preserve"> is calculated using equation S6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r>
          <w:rPr>
            <w:rFonts w:ascii="Cambria Math" w:hAnsi="Cambria Math"/>
          </w:rPr>
          <m:t>=</m:t>
        </m:r>
      </m:oMath>
      <w:r>
        <w:rPr>
          <w:rStyle w:val="VerbatimChar"/>
        </w:rPr>
        <w:t xml:space="preserve"> 208 </w:t>
      </w:r>
      <w:proofErr w:type="gramStart"/>
      <w:r>
        <w:rPr>
          <w:rStyle w:val="VerbatimChar"/>
        </w:rPr>
        <w:t>um</w:t>
      </w:r>
      <w:proofErr w:type="gramEnd"/>
      <w:r>
        <w:rPr>
          <w:rStyle w:val="VerbatimChar"/>
        </w:rPr>
        <w:t>^3).</w:t>
      </w:r>
    </w:p>
    <w:p w14:paraId="66BF9671" w14:textId="77777777" w:rsidR="00B00466" w:rsidRPr="0068782D" w:rsidRDefault="00B00466" w:rsidP="00B00466">
      <w:pPr>
        <w:pStyle w:val="BodyText"/>
        <w:ind w:firstLine="720"/>
      </w:pPr>
      <w:r>
        <w:rPr>
          <w:rStyle w:val="VerbatimChar"/>
        </w:rPr>
        <w:t xml:space="preserve">Using equation S2,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poly</m:t>
            </m:r>
          </m:sub>
        </m:sSub>
      </m:oMath>
      <w:r>
        <w:t xml:space="preserve"> is calculated using the volume of particles that are </w:t>
      </w:r>
      <w:proofErr w:type="spellStart"/>
      <w:r>
        <w:t>bioaccessible</w:t>
      </w:r>
      <w:proofErr w:type="spellEnd"/>
      <w:r>
        <w:t xml:space="preserve"> (based on mouth opening size and particle length, i.e. 115 µm) and the volume of particles for the lower limit of the size range of interest (1 – 5,000 µm). The upper and lower bioavailability limits in volume are V</w:t>
      </w:r>
      <w:r w:rsidRPr="00654189">
        <w:rPr>
          <w:vertAlign w:val="subscript"/>
        </w:rPr>
        <w:t>UL</w:t>
      </w:r>
      <w:r>
        <w:rPr>
          <w:vertAlign w:val="subscript"/>
        </w:rPr>
        <w:t xml:space="preserve"> </w:t>
      </w:r>
      <w:r>
        <w:rPr>
          <w:rStyle w:val="VerbatimChar"/>
        </w:rPr>
        <w:t xml:space="preserve">= 316,000 </w:t>
      </w:r>
      <w:r>
        <w:t>µ</w:t>
      </w:r>
      <w:r>
        <w:rPr>
          <w:rStyle w:val="VerbatimChar"/>
        </w:rPr>
        <w:t>m</w:t>
      </w:r>
      <w:r w:rsidRPr="00654189">
        <w:rPr>
          <w:rStyle w:val="VerbatimChar"/>
          <w:vertAlign w:val="superscript"/>
        </w:rPr>
        <w:t>3</w:t>
      </w:r>
      <w:r>
        <w:rPr>
          <w:rStyle w:val="VerbatimChar"/>
        </w:rPr>
        <w:t xml:space="preserve"> and </w:t>
      </w:r>
      <w:r>
        <w:t>V</w:t>
      </w:r>
      <w:r>
        <w:rPr>
          <w:vertAlign w:val="subscript"/>
        </w:rPr>
        <w:t>L</w:t>
      </w:r>
      <w:r w:rsidRPr="00654189">
        <w:rPr>
          <w:vertAlign w:val="subscript"/>
        </w:rPr>
        <w:t>L</w:t>
      </w:r>
      <w:r>
        <w:rPr>
          <w:rStyle w:val="VerbatimChar"/>
        </w:rPr>
        <w:t xml:space="preserve"> </w:t>
      </w:r>
      <w:proofErr w:type="gramStart"/>
      <w:r>
        <w:rPr>
          <w:rStyle w:val="VerbatimChar"/>
        </w:rPr>
        <w:t>=  0.208</w:t>
      </w:r>
      <w:proofErr w:type="gramEnd"/>
      <w:r>
        <w:rPr>
          <w:rStyle w:val="VerbatimChar"/>
        </w:rPr>
        <w:t xml:space="preserve"> </w:t>
      </w:r>
      <w:r>
        <w:t>µ</w:t>
      </w:r>
      <w:r>
        <w:rPr>
          <w:rStyle w:val="VerbatimChar"/>
        </w:rPr>
        <w:t>m</w:t>
      </w:r>
      <w:r w:rsidRPr="00654189">
        <w:rPr>
          <w:rStyle w:val="VerbatimChar"/>
          <w:vertAlign w:val="superscript"/>
        </w:rPr>
        <w:t>3</w:t>
      </w:r>
      <w:r w:rsidRPr="0068782D">
        <w:rPr>
          <w:rStyle w:val="VerbatimChar"/>
        </w:rPr>
        <w:t>, respectively.</w:t>
      </w:r>
      <w:r>
        <w:rPr>
          <w:rStyle w:val="VerbatimChar"/>
        </w:rPr>
        <w:t xml:space="preserve">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poly</m:t>
            </m:r>
          </m:sub>
        </m:sSub>
      </m:oMath>
      <w:r>
        <w:t xml:space="preserve"> may now be calculated given these limits, using an alpha value of 1.48 for volume in the marine surface water environment (Kooi et al 2021), which equated to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poly</m:t>
            </m:r>
          </m:sub>
        </m:sSub>
      </m:oMath>
      <w:r>
        <w:t xml:space="preserve"> = </w:t>
      </w:r>
      <w:r>
        <w:rPr>
          <w:rStyle w:val="VerbatimChar"/>
        </w:rPr>
        <w:t xml:space="preserve">314.9 </w:t>
      </w:r>
      <w:r>
        <w:t>µ</w:t>
      </w:r>
      <w:r>
        <w:rPr>
          <w:rStyle w:val="VerbatimChar"/>
        </w:rPr>
        <w:t>m</w:t>
      </w:r>
      <w:r w:rsidRPr="0068782D">
        <w:rPr>
          <w:rStyle w:val="VerbatimChar"/>
        </w:rPr>
        <w:t xml:space="preserve"> </w:t>
      </w:r>
      <w:r w:rsidRPr="0068782D">
        <w:rPr>
          <w:rStyle w:val="VerbatimChar"/>
          <w:vertAlign w:val="superscript"/>
        </w:rPr>
        <w:t>3</w:t>
      </w:r>
      <w:r>
        <w:rPr>
          <w:rStyle w:val="VerbatimChar"/>
        </w:rPr>
        <w:t>.</w:t>
      </w:r>
    </w:p>
    <w:p w14:paraId="5EFB54FA" w14:textId="77777777" w:rsidR="00B00466" w:rsidRDefault="00B00466" w:rsidP="00B00466">
      <w:pPr>
        <w:pStyle w:val="FirstParagraph"/>
        <w:ind w:firstLine="720"/>
      </w:pPr>
      <w:r>
        <w:t xml:space="preserve">Now that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poly</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oMath>
      <w:r>
        <w:t xml:space="preserve">, and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are known for this exam</w:t>
      </w:r>
      <w:proofErr w:type="spellStart"/>
      <w:r>
        <w:t>ple</w:t>
      </w:r>
      <w:proofErr w:type="spellEnd"/>
      <w:r>
        <w:t xml:space="preserve"> for volume, the </w:t>
      </w:r>
      <w:r>
        <w:rPr>
          <w:i/>
          <w:iCs/>
        </w:rPr>
        <w:t>bioavailable</w:t>
      </w:r>
      <w:r>
        <w:t xml:space="preserve"> </w:t>
      </w:r>
      <w:r>
        <w:rPr>
          <w:i/>
          <w:iCs/>
        </w:rPr>
        <w:t>polydisperse</w:t>
      </w:r>
      <w:r>
        <w:t xml:space="preserve"> effect concentration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for the volume ERM may then be calculated using equation S3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 V</m:t>
            </m:r>
          </m:sub>
        </m:sSub>
        <m:r>
          <w:rPr>
            <w:rFonts w:ascii="Cambria Math" w:hAnsi="Cambria Math"/>
          </w:rPr>
          <m:t xml:space="preserve"> </m:t>
        </m:r>
      </m:oMath>
      <w:r>
        <w:rPr>
          <w:rStyle w:val="VerbatimChar"/>
        </w:rPr>
        <w:t>= 371.42 particles/L.</w:t>
      </w:r>
      <w:r>
        <w:t xml:space="preserve"> Again, to relate this </w:t>
      </w:r>
      <w:r>
        <w:rPr>
          <w:i/>
          <w:iCs/>
        </w:rPr>
        <w:t>bioavailable</w:t>
      </w:r>
      <w:r>
        <w:t xml:space="preserve">, </w:t>
      </w:r>
      <w:r>
        <w:rPr>
          <w:i/>
          <w:iCs/>
        </w:rPr>
        <w:t>polydisperse</w:t>
      </w:r>
      <w:r>
        <w:t xml:space="preserve"> effect threshold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r>
              <m:rPr>
                <m:sty m:val="p"/>
              </m:rPr>
              <w:rPr>
                <w:rFonts w:ascii="Cambria Math" w:hAnsi="Cambria Math"/>
              </w:rPr>
              <m:t>,</m:t>
            </m:r>
            <m:r>
              <w:rPr>
                <w:rFonts w:ascii="Cambria Math" w:hAnsi="Cambria Math"/>
              </w:rPr>
              <m:t>v</m:t>
            </m:r>
          </m:sub>
        </m:sSub>
      </m:oMath>
      <w:r>
        <w:t>) to an envi</w:t>
      </w:r>
      <w:proofErr w:type="spellStart"/>
      <w:r>
        <w:t>ronmentally</w:t>
      </w:r>
      <w:proofErr w:type="spellEnd"/>
      <w:r>
        <w:t xml:space="preserve"> relevant </w:t>
      </w:r>
      <w:r>
        <w:rPr>
          <w:i/>
          <w:iCs/>
        </w:rPr>
        <w:t>polydisperse</w:t>
      </w:r>
      <w:r>
        <w:t xml:space="preserve"> mixture of particles for the volume ERM, an additional correction must be applied (equation S4) to rescale the effect threshold to the environmental size range of interest (e.g. 1-5,000 µ</w:t>
      </w:r>
      <w:r>
        <w:rPr>
          <w:rStyle w:val="VerbatimChar"/>
        </w:rPr>
        <w:t>m</w:t>
      </w:r>
      <w:r>
        <w:t xml:space="preserve">) using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identical as for particles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r>
              <m:rPr>
                <m:sty m:val="p"/>
              </m:rPr>
              <w:rPr>
                <w:rFonts w:ascii="Cambria Math" w:hAnsi="Cambria Math"/>
              </w:rPr>
              <m:t>,</m:t>
            </m:r>
            <m:r>
              <w:rPr>
                <w:rFonts w:ascii="Cambria Math" w:hAnsi="Cambria Math"/>
              </w:rPr>
              <m:t>v</m:t>
            </m:r>
          </m:sub>
        </m:sSub>
      </m:oMath>
      <w:r>
        <w:rPr>
          <w:rStyle w:val="VerbatimChar"/>
        </w:rPr>
        <w:t xml:space="preserve"> =  373.7 particles/L.</w:t>
      </w:r>
    </w:p>
    <w:p w14:paraId="6AF7D22F" w14:textId="77777777" w:rsidR="00B00466" w:rsidRDefault="00B00466" w:rsidP="00B00466">
      <w:pPr>
        <w:pStyle w:val="Heading3"/>
      </w:pPr>
      <w:bookmarkStart w:id="1" w:name="surface-area"/>
      <w:bookmarkEnd w:id="0"/>
      <w:r>
        <w:t>Surface Area</w:t>
      </w:r>
    </w:p>
    <w:p w14:paraId="40474D56" w14:textId="77777777" w:rsidR="00B00466" w:rsidRDefault="00B00466" w:rsidP="00B00466">
      <w:pPr>
        <w:pStyle w:val="FirstParagraph"/>
        <w:ind w:firstLine="720"/>
      </w:pPr>
      <w:r>
        <w:t xml:space="preserve">For surface area as an ERM,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oMath>
      <w:r>
        <w:t xml:space="preserve"> is equivalent to the average surface area (</w:t>
      </w:r>
      <m:oMath>
        <m:r>
          <w:rPr>
            <w:rFonts w:ascii="Cambria Math" w:hAnsi="Cambria Math"/>
          </w:rPr>
          <m:t>SA</m:t>
        </m:r>
      </m:oMath>
      <w:r>
        <w:t xml:space="preserve">) of the </w:t>
      </w:r>
      <w:r>
        <w:rPr>
          <w:i/>
          <w:iCs/>
        </w:rPr>
        <w:t>monodisperse</w:t>
      </w:r>
      <w:r>
        <w:t xml:space="preserve"> particle for the effect threshold, calculated using equation S8.</w:t>
      </w:r>
    </w:p>
    <w:p w14:paraId="0A6EA440" w14:textId="77777777" w:rsidR="00B00466" w:rsidRDefault="00B00466" w:rsidP="00B00466">
      <w:pPr>
        <w:pStyle w:val="BodyText"/>
        <w:ind w:left="720" w:firstLine="720"/>
      </w:pPr>
      <w:r w:rsidRPr="00B4079D">
        <w:rPr>
          <w:rFonts w:eastAsiaTheme="minorEastAsia"/>
          <w:b/>
          <w:bCs/>
        </w:rPr>
        <w:t>Equation S8.</w:t>
      </w:r>
      <w:r>
        <w:rPr>
          <w:rFonts w:eastAsiaTheme="minorEastAsia"/>
          <w:b/>
          <w:bCs/>
        </w:rPr>
        <w:tab/>
      </w:r>
      <w:r>
        <w:rPr>
          <w:rFonts w:eastAsiaTheme="minorEastAsia"/>
          <w:b/>
          <w:bCs/>
        </w:rPr>
        <w:tab/>
      </w:r>
      <w:r>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4π</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ab</m:t>
            </m:r>
            <m:sSup>
              <m:sSupPr>
                <m:ctrlPr>
                  <w:rPr>
                    <w:rFonts w:ascii="Cambria Math" w:hAnsi="Cambria Math"/>
                  </w:rPr>
                </m:ctrlPr>
              </m:sSupPr>
              <m:e>
                <m:r>
                  <m:rPr>
                    <m:sty m:val="p"/>
                  </m:rPr>
                  <w:rPr>
                    <w:rFonts w:ascii="Cambria Math" w:hAnsi="Cambria Math"/>
                  </w:rPr>
                  <m:t>)</m:t>
                </m:r>
              </m:e>
              <m:sup>
                <m:r>
                  <w:rPr>
                    <w:rFonts w:ascii="Cambria Math" w:hAnsi="Cambria Math"/>
                  </w:rPr>
                  <m:t>1.6</m:t>
                </m:r>
              </m:sup>
            </m:sSup>
            <m:r>
              <m:rPr>
                <m:sty m:val="p"/>
              </m:rPr>
              <w:rPr>
                <w:rFonts w:ascii="Cambria Math" w:hAnsi="Cambria Math"/>
              </w:rPr>
              <m:t>+(</m:t>
            </m:r>
            <m:r>
              <w:rPr>
                <w:rFonts w:ascii="Cambria Math" w:hAnsi="Cambria Math"/>
              </w:rPr>
              <m:t>ac</m:t>
            </m:r>
            <m:sSup>
              <m:sSupPr>
                <m:ctrlPr>
                  <w:rPr>
                    <w:rFonts w:ascii="Cambria Math" w:hAnsi="Cambria Math"/>
                  </w:rPr>
                </m:ctrlPr>
              </m:sSupPr>
              <m:e>
                <m:r>
                  <m:rPr>
                    <m:sty m:val="p"/>
                  </m:rPr>
                  <w:rPr>
                    <w:rFonts w:ascii="Cambria Math" w:hAnsi="Cambria Math"/>
                  </w:rPr>
                  <m:t>)</m:t>
                </m:r>
              </m:e>
              <m:sup>
                <m:r>
                  <w:rPr>
                    <w:rFonts w:ascii="Cambria Math" w:hAnsi="Cambria Math"/>
                  </w:rPr>
                  <m:t>1.6</m:t>
                </m:r>
              </m:sup>
            </m:sSup>
            <m:r>
              <m:rPr>
                <m:sty m:val="p"/>
              </m:rPr>
              <w:rPr>
                <w:rFonts w:ascii="Cambria Math" w:hAnsi="Cambria Math"/>
              </w:rPr>
              <m:t>+(</m:t>
            </m:r>
            <m:r>
              <w:rPr>
                <w:rFonts w:ascii="Cambria Math" w:hAnsi="Cambria Math"/>
              </w:rPr>
              <m:t>bc</m:t>
            </m:r>
            <m:sSup>
              <m:sSupPr>
                <m:ctrlPr>
                  <w:rPr>
                    <w:rFonts w:ascii="Cambria Math" w:hAnsi="Cambria Math"/>
                  </w:rPr>
                </m:ctrlPr>
              </m:sSupPr>
              <m:e>
                <m:r>
                  <m:rPr>
                    <m:sty m:val="p"/>
                  </m:rPr>
                  <w:rPr>
                    <w:rFonts w:ascii="Cambria Math" w:hAnsi="Cambria Math"/>
                  </w:rPr>
                  <m:t>)</m:t>
                </m:r>
              </m:e>
              <m:sup>
                <m:r>
                  <w:rPr>
                    <w:rFonts w:ascii="Cambria Math" w:hAnsi="Cambria Math"/>
                  </w:rPr>
                  <m:t>1.6</m:t>
                </m:r>
              </m:sup>
            </m:sSup>
          </m:num>
          <m:den>
            <m:r>
              <w:rPr>
                <w:rFonts w:ascii="Cambria Math" w:hAnsi="Cambria Math"/>
              </w:rPr>
              <m:t>3</m:t>
            </m:r>
          </m:den>
        </m:f>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1.6</m:t>
            </m:r>
          </m:sup>
        </m:sSup>
      </m:oMath>
    </w:p>
    <w:p w14:paraId="519FF414" w14:textId="77777777" w:rsidR="00B00466" w:rsidRDefault="00B00466" w:rsidP="00B00466">
      <w:pPr>
        <w:pStyle w:val="BodyText"/>
        <w:ind w:firstLine="720"/>
      </w:pPr>
      <w:r>
        <w:t>With a, b, c being equal to 0.5x length, 0.5x width, and 0.5x height, respectively. For the example of a 40 µm PE fragment, the length was reported (</w:t>
      </w:r>
      <m:oMath>
        <m:r>
          <w:rPr>
            <w:rFonts w:ascii="Cambria Math" w:hAnsi="Cambria Math"/>
          </w:rPr>
          <m:t>a</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40μm</m:t>
        </m:r>
      </m:oMath>
      <w:r>
        <w:t>), however the width was not reported by the authors, so a default value of 0.77 is used (</w:t>
      </w:r>
      <m:oMath>
        <m:r>
          <w:rPr>
            <w:rFonts w:ascii="Cambria Math" w:hAnsi="Cambria Math"/>
          </w:rPr>
          <m:t>b</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0.77</m:t>
        </m:r>
        <m:r>
          <m:rPr>
            <m:sty m:val="p"/>
          </m:rPr>
          <w:rPr>
            <w:rFonts w:ascii="Cambria Math" w:hAnsi="Cambria Math"/>
          </w:rPr>
          <m:t>*</m:t>
        </m:r>
        <m:r>
          <w:rPr>
            <w:rFonts w:ascii="Cambria Math" w:hAnsi="Cambria Math"/>
          </w:rPr>
          <m:t>40μm</m:t>
        </m:r>
      </m:oMath>
      <w:r>
        <w:t>), which is the average for marine surface water, and height is assumed to be 0.67 times the width (</w:t>
      </w:r>
      <m:oMath>
        <m:r>
          <w:rPr>
            <w:rFonts w:ascii="Cambria Math" w:hAnsi="Cambria Math"/>
          </w:rPr>
          <m:t>c</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0.77</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40μm</m:t>
        </m:r>
      </m:oMath>
      <w:r>
        <w:t xml:space="preserve">) (Kooi et al 2021). Surface area is calculated for this example and equates to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oMath>
      <w:r>
        <w:rPr>
          <w:rStyle w:val="VerbatimChar"/>
        </w:rPr>
        <w:t xml:space="preserve"> = 2,880 </w:t>
      </w:r>
      <w:r>
        <w:t>µ</w:t>
      </w:r>
      <w:r>
        <w:rPr>
          <w:rStyle w:val="VerbatimChar"/>
        </w:rPr>
        <w:t>m</w:t>
      </w:r>
      <w:r w:rsidRPr="00B4079D">
        <w:rPr>
          <w:rStyle w:val="VerbatimChar"/>
          <w:vertAlign w:val="superscript"/>
        </w:rPr>
        <w:t>2</w:t>
      </w:r>
      <w:r w:rsidRPr="00B4079D">
        <w:rPr>
          <w:rStyle w:val="VerbatimChar"/>
        </w:rPr>
        <w:t>.</w:t>
      </w:r>
    </w:p>
    <w:p w14:paraId="00639263" w14:textId="77777777" w:rsidR="00B00466" w:rsidRPr="008C2BD1" w:rsidRDefault="00B00466" w:rsidP="00B00466">
      <w:pPr>
        <w:pStyle w:val="FirstParagraph"/>
        <w:ind w:firstLine="720"/>
        <w:rPr>
          <w:vertAlign w:val="subscript"/>
        </w:rPr>
      </w:pPr>
      <w:r>
        <w:t xml:space="preserve">Since the probability distribution of ERM </w:t>
      </w:r>
      <m:oMath>
        <m:r>
          <w:rPr>
            <w:rFonts w:ascii="Cambria Math" w:hAnsi="Cambria Math"/>
          </w:rPr>
          <m:t>sa</m:t>
        </m:r>
      </m:oMath>
      <w:r>
        <w:t xml:space="preserve"> (surface area) follows a power law regime, the mean ERM value for the polydisperse particles,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poly</m:t>
            </m:r>
          </m:sub>
        </m:sSub>
      </m:oMath>
      <w:r>
        <w:t>, can be calculated. For surface area of environmentally disperse particles, UL and LL are calculated using the equation for the surface area of an ellipsoid (equation S8). SA</w:t>
      </w:r>
      <w:r w:rsidRPr="00654189">
        <w:rPr>
          <w:vertAlign w:val="subscript"/>
        </w:rPr>
        <w:t>UL</w:t>
      </w:r>
      <w:r>
        <w:rPr>
          <w:rStyle w:val="VerbatimChar"/>
        </w:rPr>
        <w:t xml:space="preserve"> = 23,838 </w:t>
      </w:r>
      <w:r>
        <w:t>µ</w:t>
      </w:r>
      <w:r>
        <w:rPr>
          <w:rStyle w:val="VerbatimChar"/>
        </w:rPr>
        <w:t>m</w:t>
      </w:r>
      <w:r w:rsidRPr="009055EE">
        <w:rPr>
          <w:rStyle w:val="VerbatimChar"/>
          <w:vertAlign w:val="superscript"/>
        </w:rPr>
        <w:t>2</w:t>
      </w:r>
      <w:r>
        <w:rPr>
          <w:rStyle w:val="VerbatimChar"/>
        </w:rPr>
        <w:t xml:space="preserve"> and </w:t>
      </w:r>
      <w:r>
        <w:t>SA</w:t>
      </w:r>
      <w:r>
        <w:rPr>
          <w:vertAlign w:val="subscript"/>
        </w:rPr>
        <w:t>L</w:t>
      </w:r>
      <w:r w:rsidRPr="00654189">
        <w:rPr>
          <w:vertAlign w:val="subscript"/>
        </w:rPr>
        <w:t>L</w:t>
      </w:r>
      <w:r>
        <w:rPr>
          <w:rStyle w:val="VerbatimChar"/>
        </w:rPr>
        <w:t xml:space="preserve"> = 1.8 </w:t>
      </w:r>
      <w:r>
        <w:t>µ</w:t>
      </w:r>
      <w:r>
        <w:rPr>
          <w:rStyle w:val="VerbatimChar"/>
        </w:rPr>
        <w:t>m2</w:t>
      </w:r>
      <w:r>
        <w:rPr>
          <w:rStyle w:val="VerbatimChar"/>
          <w:vertAlign w:val="subscript"/>
        </w:rPr>
        <w:t xml:space="preserve">.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poly</m:t>
            </m:r>
          </m:sub>
        </m:sSub>
      </m:oMath>
      <w:r>
        <w:t xml:space="preserve"> may now be calculated given these limits, using an alpha value of 1.98 for surface area in the marine surface water environment (</w:t>
      </w:r>
      <w:proofErr w:type="spellStart"/>
      <w:r>
        <w:t>Kooi</w:t>
      </w:r>
      <w:proofErr w:type="spellEnd"/>
      <w:r>
        <w:t xml:space="preserve"> et al 2021), which equates to: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poly</m:t>
            </m:r>
          </m:sub>
        </m:sSub>
      </m:oMath>
      <w:r>
        <w:rPr>
          <w:rFonts w:eastAsiaTheme="minorEastAsia"/>
        </w:rPr>
        <w:t xml:space="preserve"> = </w:t>
      </w:r>
      <w:r>
        <w:rPr>
          <w:rStyle w:val="VerbatimChar"/>
        </w:rPr>
        <w:t xml:space="preserve">207.29 </w:t>
      </w:r>
      <w:r>
        <w:t>µ</w:t>
      </w:r>
      <w:r>
        <w:rPr>
          <w:rStyle w:val="VerbatimChar"/>
        </w:rPr>
        <w:t>m</w:t>
      </w:r>
      <w:r w:rsidRPr="008C2BD1">
        <w:rPr>
          <w:rStyle w:val="VerbatimChar"/>
          <w:vertAlign w:val="superscript"/>
        </w:rPr>
        <w:t>2</w:t>
      </w:r>
      <w:r w:rsidRPr="008C2BD1">
        <w:rPr>
          <w:rStyle w:val="VerbatimChar"/>
        </w:rPr>
        <w:t>.</w:t>
      </w:r>
    </w:p>
    <w:p w14:paraId="06F3A1C1" w14:textId="77777777" w:rsidR="00B00466" w:rsidRDefault="00B00466" w:rsidP="00B00466">
      <w:pPr>
        <w:pStyle w:val="FirstParagraph"/>
        <w:ind w:firstLine="720"/>
      </w:pPr>
      <w:r>
        <w:lastRenderedPageBreak/>
        <w:t xml:space="preserve">Now that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poly</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v</m:t>
            </m:r>
            <m:r>
              <m:rPr>
                <m:sty m:val="p"/>
              </m:rPr>
              <w:rPr>
                <w:rFonts w:ascii="Cambria Math" w:hAnsi="Cambria Math"/>
              </w:rPr>
              <m:t>,</m:t>
            </m:r>
            <m:r>
              <w:rPr>
                <w:rFonts w:ascii="Cambria Math" w:hAnsi="Cambria Math"/>
              </w:rPr>
              <m:t>mono</m:t>
            </m:r>
          </m:sub>
        </m:sSub>
      </m:oMath>
      <w:r>
        <w:t xml:space="preserve">, and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are known for this example for surface area, the </w:t>
      </w:r>
      <w:r>
        <w:rPr>
          <w:i/>
          <w:iCs/>
        </w:rPr>
        <w:t>bioavailable</w:t>
      </w:r>
      <w:r>
        <w:t xml:space="preserve"> </w:t>
      </w:r>
      <w:r>
        <w:rPr>
          <w:i/>
          <w:iCs/>
        </w:rPr>
        <w:t>polydisperse</w:t>
      </w:r>
      <w:r>
        <w:t xml:space="preserve"> effect concentration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for the surface area ERM may then be calculated, and equates to: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mono_SA</m:t>
            </m:r>
          </m:sub>
        </m:sSub>
        <m:r>
          <w:rPr>
            <w:rFonts w:ascii="Cambria Math" w:hAnsi="Cambria Math"/>
          </w:rPr>
          <m:t xml:space="preserve">= </m:t>
        </m:r>
      </m:oMath>
      <w:r>
        <w:rPr>
          <w:rStyle w:val="VerbatimChar"/>
        </w:rPr>
        <w:t>7,824 particles/L.</w:t>
      </w:r>
    </w:p>
    <w:p w14:paraId="4B912F06" w14:textId="77777777" w:rsidR="00B00466" w:rsidRDefault="00B00466" w:rsidP="00B00466">
      <w:pPr>
        <w:pStyle w:val="FirstParagraph"/>
        <w:ind w:firstLine="720"/>
      </w:pPr>
      <w:r>
        <w:t xml:space="preserve">Again, to relate this </w:t>
      </w:r>
      <w:r>
        <w:rPr>
          <w:i/>
          <w:iCs/>
        </w:rPr>
        <w:t>bioavailable</w:t>
      </w:r>
      <w:r>
        <w:t xml:space="preserve">, </w:t>
      </w:r>
      <w:r>
        <w:rPr>
          <w:i/>
          <w:iCs/>
        </w:rPr>
        <w:t>polydisperse</w:t>
      </w:r>
      <w:r>
        <w:t xml:space="preserve"> effect threshold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r>
              <m:rPr>
                <m:sty m:val="p"/>
              </m:rPr>
              <w:rPr>
                <w:rFonts w:ascii="Cambria Math" w:hAnsi="Cambria Math"/>
              </w:rPr>
              <m:t>,</m:t>
            </m:r>
            <m:r>
              <w:rPr>
                <w:rFonts w:ascii="Cambria Math" w:hAnsi="Cambria Math"/>
              </w:rPr>
              <m:t>sa</m:t>
            </m:r>
          </m:sub>
        </m:sSub>
      </m:oMath>
      <w:r>
        <w:t xml:space="preserve">) to an environmentally relevant </w:t>
      </w:r>
      <w:r>
        <w:rPr>
          <w:i/>
          <w:iCs/>
        </w:rPr>
        <w:t>polydisperse</w:t>
      </w:r>
      <w:r>
        <w:t xml:space="preserve"> mixture of particles for the surface area ERM, an additional correction must be applied to rescale the threshold to the size range of interest (e.g. 1-5,000 µm) using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ident</w:t>
      </w:r>
      <w:proofErr w:type="spellStart"/>
      <w:r>
        <w:t>ical</w:t>
      </w:r>
      <w:proofErr w:type="spellEnd"/>
      <w:r>
        <w:t xml:space="preserve"> as for particles. Therefore,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 ,sa</m:t>
            </m:r>
          </m:sub>
        </m:sSub>
      </m:oMath>
      <w:r>
        <w:rPr>
          <w:rStyle w:val="VerbatimChar"/>
        </w:rPr>
        <w:t xml:space="preserve"> = 7,872 Particles/L.</w:t>
      </w:r>
    </w:p>
    <w:p w14:paraId="1BC5CD18" w14:textId="77777777" w:rsidR="00B00466" w:rsidRDefault="00B00466" w:rsidP="00B00466">
      <w:pPr>
        <w:pStyle w:val="Heading3"/>
      </w:pPr>
      <w:bookmarkStart w:id="2" w:name="mass"/>
      <w:bookmarkEnd w:id="1"/>
      <w:r>
        <w:t>Mass</w:t>
      </w:r>
    </w:p>
    <w:p w14:paraId="0E59C6B2" w14:textId="77777777" w:rsidR="00B00466" w:rsidRDefault="00B00466" w:rsidP="00B00466">
      <w:pPr>
        <w:pStyle w:val="FirstParagraph"/>
        <w:ind w:firstLine="720"/>
      </w:pPr>
      <w:r>
        <w:t xml:space="preserve">In the case of an ERM of interest being total mass, </w:t>
      </w:r>
      <m:oMath>
        <m:sSub>
          <m:sSubPr>
            <m:ctrlPr>
              <w:rPr>
                <w:rFonts w:ascii="Cambria Math" w:hAnsi="Cambria Math"/>
              </w:rPr>
            </m:ctrlPr>
          </m:sSubPr>
          <m:e>
            <m:r>
              <w:rPr>
                <w:rFonts w:ascii="Cambria Math" w:hAnsi="Cambria Math"/>
              </w:rPr>
              <m:t>μ</m:t>
            </m:r>
          </m:e>
          <m:sub>
            <m:r>
              <w:rPr>
                <w:rFonts w:ascii="Cambria Math" w:hAnsi="Cambria Math"/>
              </w:rPr>
              <m:t>x</m:t>
            </m:r>
            <m:r>
              <m:rPr>
                <m:sty m:val="p"/>
              </m:rPr>
              <w:rPr>
                <w:rFonts w:ascii="Cambria Math" w:hAnsi="Cambria Math"/>
              </w:rPr>
              <m:t>,</m:t>
            </m:r>
            <m:r>
              <w:rPr>
                <w:rFonts w:ascii="Cambria Math" w:hAnsi="Cambria Math"/>
              </w:rPr>
              <m:t>mono</m:t>
            </m:r>
          </m:sub>
        </m:sSub>
      </m:oMath>
      <w:r>
        <w:t xml:space="preserve"> is equivalent to the average mass of a the monodisperse particle (i.e.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mono</m:t>
            </m:r>
          </m:sub>
        </m:sSub>
      </m:oMath>
      <w:r>
        <w:t>), calculated as follows (equation S9):</w:t>
      </w:r>
    </w:p>
    <w:p w14:paraId="25285E40" w14:textId="77777777" w:rsidR="00B00466" w:rsidRDefault="00B00466" w:rsidP="00B00466">
      <w:pPr>
        <w:pStyle w:val="BodyText"/>
        <w:ind w:left="1440" w:firstLine="720"/>
      </w:pPr>
      <w:r w:rsidRPr="00A761FD">
        <w:rPr>
          <w:rFonts w:eastAsiaTheme="minorEastAsia"/>
          <w:b/>
          <w:bCs/>
        </w:rPr>
        <w:t>Equation S9.</w:t>
      </w:r>
      <w:r>
        <w:rPr>
          <w:rFonts w:eastAsiaTheme="minorEastAsia"/>
        </w:rPr>
        <w:t xml:space="preserve"> </w:t>
      </w:r>
      <w:r>
        <w:rPr>
          <w:rFonts w:eastAsiaTheme="minorEastAsia"/>
        </w:rPr>
        <w:tab/>
      </w:r>
      <w:r>
        <w:rPr>
          <w:rFonts w:eastAsiaTheme="minorEastAsia"/>
        </w:rPr>
        <w:tab/>
        <w:t xml:space="preserve">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mono</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pV</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1e12</m:t>
            </m:r>
          </m:den>
        </m:f>
        <m:r>
          <m:rPr>
            <m:sty m:val="p"/>
          </m:rPr>
          <w:rPr>
            <w:rFonts w:ascii="Cambria Math" w:hAnsi="Cambria Math"/>
          </w:rPr>
          <m:t>*</m:t>
        </m:r>
        <m:r>
          <w:rPr>
            <w:rFonts w:ascii="Cambria Math" w:hAnsi="Cambria Math"/>
          </w:rPr>
          <m:t>1e6</m:t>
        </m:r>
      </m:oMath>
    </w:p>
    <w:p w14:paraId="18B490F3" w14:textId="77777777" w:rsidR="00B00466" w:rsidRDefault="00B00466" w:rsidP="00B00466">
      <w:pPr>
        <w:pStyle w:val="BodyText"/>
        <w:ind w:firstLine="720"/>
      </w:pPr>
      <w:r>
        <w:t xml:space="preserve">Where </w:t>
      </w:r>
      <w:r>
        <w:rPr>
          <w:i/>
          <w:iCs/>
        </w:rPr>
        <w:t>m</w:t>
      </w:r>
      <w:r>
        <w:t xml:space="preserve"> is the mass (µg), </w:t>
      </w:r>
      <w:r>
        <w:rPr>
          <w:i/>
          <w:iCs/>
        </w:rPr>
        <w:t>p</w:t>
      </w:r>
      <w:r>
        <w:t xml:space="preserve"> is density (g/cm</w:t>
      </w:r>
      <w:r w:rsidRPr="00A76B3E">
        <w:rPr>
          <w:vertAlign w:val="superscript"/>
        </w:rPr>
        <w:t>3</w:t>
      </w:r>
      <w:r>
        <w:t xml:space="preserve">), </w:t>
      </w:r>
      <w:r>
        <w:rPr>
          <w:i/>
          <w:iCs/>
        </w:rPr>
        <w:t>V</w:t>
      </w:r>
      <w:r>
        <w:t xml:space="preserve"> is volume (um</w:t>
      </w:r>
      <w:r w:rsidRPr="00A76B3E">
        <w:rPr>
          <w:vertAlign w:val="superscript"/>
        </w:rPr>
        <w:t>3</w:t>
      </w:r>
      <w:r>
        <w:t>) - which is calculated by the cube of the radius of each particle (i.e. 1/2 * length, or 40 µm for this example), and additional conversion factors for g to ug (1</w:t>
      </w:r>
      <w:r w:rsidRPr="00E520C6">
        <w:rPr>
          <w:i/>
          <w:iCs/>
        </w:rPr>
        <w:t xml:space="preserve"> </w:t>
      </w:r>
      <w:r>
        <w:rPr>
          <w:i/>
          <w:iCs/>
        </w:rPr>
        <w:t>x</w:t>
      </w:r>
      <w:r w:rsidRPr="00E520C6">
        <w:t xml:space="preserve"> 10</w:t>
      </w:r>
      <w:r w:rsidRPr="00E520C6">
        <w:rPr>
          <w:vertAlign w:val="superscript"/>
        </w:rPr>
        <w:t>6</w:t>
      </w:r>
      <w:r>
        <w:t>) and cm</w:t>
      </w:r>
      <w:r w:rsidRPr="00E520C6">
        <w:rPr>
          <w:vertAlign w:val="superscript"/>
        </w:rPr>
        <w:t>3</w:t>
      </w:r>
      <w:r>
        <w:t xml:space="preserve"> to um</w:t>
      </w:r>
      <w:r w:rsidRPr="00E520C6">
        <w:rPr>
          <w:vertAlign w:val="superscript"/>
        </w:rPr>
        <w:t>3</w:t>
      </w:r>
      <w:r>
        <w:t xml:space="preserve"> (1 </w:t>
      </w:r>
      <w:r>
        <w:rPr>
          <w:i/>
          <w:iCs/>
        </w:rPr>
        <w:t>x</w:t>
      </w:r>
      <w:r w:rsidRPr="00E520C6">
        <w:t xml:space="preserve"> 10</w:t>
      </w:r>
      <w:r w:rsidRPr="00E520C6">
        <w:rPr>
          <w:vertAlign w:val="superscript"/>
        </w:rPr>
        <w:t>-12</w:t>
      </w:r>
      <w:r>
        <w:t xml:space="preserve">). For the example of a 40 µm polyethylene fragment, the volume was calculated above (~ </w:t>
      </w:r>
      <m:oMath>
        <m:r>
          <w:rPr>
            <w:rFonts w:ascii="Cambria Math" w:hAnsi="Cambria Math"/>
          </w:rPr>
          <m:t>207 u</m:t>
        </m:r>
        <m:sSup>
          <m:sSupPr>
            <m:ctrlPr>
              <w:rPr>
                <w:rFonts w:ascii="Cambria Math" w:hAnsi="Cambria Math"/>
              </w:rPr>
            </m:ctrlPr>
          </m:sSupPr>
          <m:e>
            <m:r>
              <w:rPr>
                <w:rFonts w:ascii="Cambria Math" w:hAnsi="Cambria Math"/>
              </w:rPr>
              <m:t>m</m:t>
            </m:r>
          </m:e>
          <m:sup>
            <m:r>
              <w:rPr>
                <w:rFonts w:ascii="Cambria Math" w:hAnsi="Cambria Math"/>
              </w:rPr>
              <m:t>3</m:t>
            </m:r>
          </m:sup>
        </m:sSup>
      </m:oMath>
      <w:r>
        <w:t>), and the density of polyethylene was is estimated to be 0.935 g/cm</w:t>
      </w:r>
      <w:r w:rsidRPr="00E520C6">
        <w:rPr>
          <w:vertAlign w:val="superscript"/>
        </w:rPr>
        <w:t>3</w:t>
      </w:r>
      <w:r>
        <w:t xml:space="preserve">. </w:t>
      </w:r>
      <m:oMath>
        <m:sSub>
          <m:sSubPr>
            <m:ctrlPr>
              <w:rPr>
                <w:rFonts w:ascii="Cambria Math" w:hAnsi="Cambria Math"/>
              </w:rPr>
            </m:ctrlPr>
          </m:sSubPr>
          <m:e>
            <m:r>
              <w:rPr>
                <w:rFonts w:ascii="Cambria Math" w:hAnsi="Cambria Math"/>
              </w:rPr>
              <m:t>μ</m:t>
            </m:r>
          </m:e>
          <m:sub>
            <m:r>
              <w:rPr>
                <w:rFonts w:ascii="Cambria Math" w:hAnsi="Cambria Math"/>
              </w:rPr>
              <m:t>mass</m:t>
            </m:r>
            <m:r>
              <m:rPr>
                <m:sty m:val="p"/>
              </m:rPr>
              <w:rPr>
                <w:rFonts w:ascii="Cambria Math" w:hAnsi="Cambria Math"/>
              </w:rPr>
              <m:t>,</m:t>
            </m:r>
            <m:r>
              <w:rPr>
                <w:rFonts w:ascii="Cambria Math" w:hAnsi="Cambria Math"/>
              </w:rPr>
              <m:t>mono</m:t>
            </m:r>
          </m:sub>
        </m:sSub>
      </m:oMath>
      <w:r>
        <w:t xml:space="preserve"> is calculated to be 0</w:t>
      </w:r>
      <w:r>
        <w:rPr>
          <w:rStyle w:val="VerbatimChar"/>
        </w:rPr>
        <w:t xml:space="preserve">.0124 </w:t>
      </w:r>
      <w:r>
        <w:t>µ</w:t>
      </w:r>
      <w:r>
        <w:rPr>
          <w:rStyle w:val="VerbatimChar"/>
        </w:rPr>
        <w:t>g.</w:t>
      </w:r>
    </w:p>
    <w:p w14:paraId="622969A1" w14:textId="77777777" w:rsidR="00B00466" w:rsidRDefault="00B00466" w:rsidP="00B00466">
      <w:pPr>
        <w:pStyle w:val="FirstParagraph"/>
        <w:ind w:firstLine="720"/>
      </w:pPr>
      <w:r>
        <w:t xml:space="preserve">Since the probability distribution of ERM </w:t>
      </w:r>
      <m:oMath>
        <m:r>
          <w:rPr>
            <w:rFonts w:ascii="Cambria Math" w:hAnsi="Cambria Math"/>
          </w:rPr>
          <m:t>m</m:t>
        </m:r>
      </m:oMath>
      <w:r>
        <w:t xml:space="preserve"> (mass) follows a power law regime, the mean ERM value for the polydisperse particles,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poly</m:t>
            </m:r>
          </m:sub>
        </m:sSub>
      </m:oMath>
      <w:r>
        <w:t xml:space="preserve">, can be calculated by first calculating the lower and upper ingestible masses of particles based on the length of the ingestible particle. The </w:t>
      </w:r>
      <w:r w:rsidRPr="00ED7C67">
        <w:rPr>
          <w:i/>
          <w:iCs/>
        </w:rPr>
        <w:t>UL</w:t>
      </w:r>
      <w:r>
        <w:t xml:space="preserve"> and </w:t>
      </w:r>
      <w:r w:rsidRPr="00ED7C67">
        <w:rPr>
          <w:i/>
          <w:iCs/>
        </w:rPr>
        <w:t>LL</w:t>
      </w:r>
      <w:r>
        <w:t xml:space="preserve"> are respectively defined as the upper and lower limit in ERM </w:t>
      </w:r>
      <m:oMath>
        <m:r>
          <w:rPr>
            <w:rFonts w:ascii="Cambria Math" w:hAnsi="Cambria Math"/>
          </w:rPr>
          <m:t>m</m:t>
        </m:r>
      </m:oMath>
      <w:r>
        <w:t xml:space="preserve"> (mass) for which the mean is calculated, and </w:t>
      </w:r>
      <m:oMath>
        <m:sSub>
          <m:sSubPr>
            <m:ctrlPr>
              <w:rPr>
                <w:rFonts w:ascii="Cambria Math" w:hAnsi="Cambria Math"/>
              </w:rPr>
            </m:ctrlPr>
          </m:sSubPr>
          <m:e>
            <m:r>
              <w:rPr>
                <w:rFonts w:ascii="Cambria Math" w:hAnsi="Cambria Math"/>
              </w:rPr>
              <m:t>a</m:t>
            </m:r>
          </m:e>
          <m:sub>
            <m:r>
              <w:rPr>
                <w:rFonts w:ascii="Cambria Math" w:hAnsi="Cambria Math"/>
              </w:rPr>
              <m:t>m</m:t>
            </m:r>
          </m:sub>
        </m:sSub>
      </m:oMath>
      <w:r>
        <w:t xml:space="preserve"> is the power law exponent of mass. In the case of marine surface water, an </w:t>
      </w:r>
      <m:oMath>
        <m:sSub>
          <m:sSubPr>
            <m:ctrlPr>
              <w:rPr>
                <w:rFonts w:ascii="Cambria Math" w:hAnsi="Cambria Math"/>
              </w:rPr>
            </m:ctrlPr>
          </m:sSubPr>
          <m:e>
            <m:r>
              <w:rPr>
                <w:rFonts w:ascii="Cambria Math" w:hAnsi="Cambria Math"/>
              </w:rPr>
              <m:t>a</m:t>
            </m:r>
          </m:e>
          <m:sub>
            <m:r>
              <w:rPr>
                <w:rFonts w:ascii="Cambria Math" w:hAnsi="Cambria Math"/>
              </w:rPr>
              <m:t>m</m:t>
            </m:r>
          </m:sub>
        </m:sSub>
      </m:oMath>
      <w:r>
        <w:t xml:space="preserve"> of 1.32 is utilized (</w:t>
      </w:r>
      <w:proofErr w:type="spellStart"/>
      <w:r>
        <w:t>Kooi</w:t>
      </w:r>
      <w:proofErr w:type="spellEnd"/>
      <w:r>
        <w:t xml:space="preserve"> et al 2021).</w:t>
      </w:r>
    </w:p>
    <w:p w14:paraId="69C63DE5" w14:textId="77777777" w:rsidR="00B00466" w:rsidRDefault="00B00466" w:rsidP="00B00466">
      <w:pPr>
        <w:pStyle w:val="BodyText"/>
        <w:ind w:firstLine="720"/>
        <w:rPr>
          <w:rStyle w:val="VerbatimChar"/>
        </w:rPr>
      </w:pPr>
      <w:r>
        <w:t xml:space="preserve">For mass, </w:t>
      </w:r>
      <w:r w:rsidRPr="00ED7C67">
        <w:rPr>
          <w:i/>
          <w:iCs/>
        </w:rPr>
        <w:t>UL</w:t>
      </w:r>
      <w:r>
        <w:t xml:space="preserve"> and </w:t>
      </w:r>
      <w:r w:rsidRPr="00ED7C67">
        <w:rPr>
          <w:i/>
          <w:iCs/>
        </w:rPr>
        <w:t>LL</w:t>
      </w:r>
      <w:r>
        <w:t xml:space="preserve"> are mass-based upper and lower limits of </w:t>
      </w:r>
      <w:proofErr w:type="spellStart"/>
      <w:r>
        <w:t>bioaccessibility</w:t>
      </w:r>
      <w:proofErr w:type="spellEnd"/>
      <w:r>
        <w:t xml:space="preserve"> based on the width of particles, respectively. To estimate mass-based limits based on size, the volume of </w:t>
      </w:r>
      <w:proofErr w:type="spellStart"/>
      <w:r>
        <w:t>bioaccessible</w:t>
      </w:r>
      <w:proofErr w:type="spellEnd"/>
      <w:r>
        <w:t xml:space="preserve"> particles is first calculated using the equation for the volume of an ellipsoid, then multiplied by the average density of particles in the 1-5,000 µm distribution in the environmental compartment of interest (e.g. surface marine water: 1.10 g/cm^3) (</w:t>
      </w:r>
      <w:proofErr w:type="spellStart"/>
      <w:r>
        <w:t>Kooi</w:t>
      </w:r>
      <w:proofErr w:type="spellEnd"/>
      <w:r>
        <w:t xml:space="preserve"> et al 2021). Therefore, </w:t>
      </w:r>
      <w:r w:rsidRPr="00F86347">
        <w:t>M</w:t>
      </w:r>
      <w:r w:rsidRPr="00F86347">
        <w:rPr>
          <w:vertAlign w:val="subscript"/>
        </w:rPr>
        <w:t>UL</w:t>
      </w:r>
      <w:r>
        <w:rPr>
          <w:rStyle w:val="VerbatimChar"/>
        </w:rPr>
        <w:t xml:space="preserve"> = 0.35 </w:t>
      </w:r>
      <w:r>
        <w:t>µ</w:t>
      </w:r>
      <w:r>
        <w:rPr>
          <w:rStyle w:val="VerbatimChar"/>
        </w:rPr>
        <w:t>g and M</w:t>
      </w:r>
      <w:r w:rsidRPr="00F86347">
        <w:rPr>
          <w:rStyle w:val="VerbatimChar"/>
          <w:vertAlign w:val="subscript"/>
        </w:rPr>
        <w:t>LL</w:t>
      </w:r>
      <w:r>
        <w:rPr>
          <w:rStyle w:val="VerbatimChar"/>
        </w:rPr>
        <w:t xml:space="preserve"> =  2.3</w:t>
      </w:r>
      <w:r w:rsidRPr="00F86347">
        <w:rPr>
          <w:i/>
          <w:iCs/>
        </w:rPr>
        <w:t xml:space="preserve"> </w:t>
      </w:r>
      <w:r>
        <w:rPr>
          <w:i/>
          <w:iCs/>
        </w:rPr>
        <w:t>x</w:t>
      </w:r>
      <w:r w:rsidRPr="00E520C6">
        <w:t xml:space="preserve"> 10</w:t>
      </w:r>
      <w:r w:rsidRPr="00E520C6">
        <w:rPr>
          <w:vertAlign w:val="superscript"/>
        </w:rPr>
        <w:t>-</w:t>
      </w:r>
      <w:r>
        <w:rPr>
          <w:vertAlign w:val="superscript"/>
        </w:rPr>
        <w:t xml:space="preserve">3 </w:t>
      </w:r>
      <w:r>
        <w:t>µ</w:t>
      </w:r>
      <w:r>
        <w:rPr>
          <w:rStyle w:val="VerbatimChar"/>
        </w:rPr>
        <w:t xml:space="preserve">g.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poly</m:t>
            </m:r>
          </m:sub>
        </m:sSub>
      </m:oMath>
      <w:r>
        <w:t xml:space="preserve"> may now be calculated given these limits, using an alpha value of </w:t>
      </w:r>
      <m:oMath>
        <m:sSub>
          <m:sSubPr>
            <m:ctrlPr>
              <w:rPr>
                <w:rFonts w:ascii="Cambria Math" w:hAnsi="Cambria Math"/>
              </w:rPr>
            </m:ctrlPr>
          </m:sSubPr>
          <m:e>
            <m:r>
              <w:rPr>
                <w:rFonts w:ascii="Cambria Math" w:hAnsi="Cambria Math"/>
              </w:rPr>
              <m:t>a</m:t>
            </m:r>
          </m:e>
          <m:sub>
            <m:r>
              <w:rPr>
                <w:rFonts w:ascii="Cambria Math" w:hAnsi="Cambria Math"/>
              </w:rPr>
              <m:t>m</m:t>
            </m:r>
          </m:sub>
        </m:sSub>
      </m:oMath>
      <w:r>
        <w:t xml:space="preserve"> of 1.32 for the marine surface water environment (</w:t>
      </w:r>
      <w:proofErr w:type="spellStart"/>
      <w:r>
        <w:t>Kooi</w:t>
      </w:r>
      <w:proofErr w:type="spellEnd"/>
      <w:r>
        <w:t xml:space="preserve"> et al 2021), equating to: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poly</m:t>
            </m:r>
          </m:sub>
        </m:sSub>
      </m:oMath>
      <w:r>
        <w:rPr>
          <w:rFonts w:eastAsiaTheme="minorEastAsia"/>
        </w:rPr>
        <w:t xml:space="preserve"> = </w:t>
      </w:r>
      <w:r>
        <w:rPr>
          <w:rStyle w:val="VerbatimChar"/>
        </w:rPr>
        <w:t xml:space="preserve">0.0017 </w:t>
      </w:r>
      <w:r>
        <w:t>µ</w:t>
      </w:r>
      <w:r>
        <w:rPr>
          <w:rStyle w:val="VerbatimChar"/>
        </w:rPr>
        <w:t>g.</w:t>
      </w:r>
    </w:p>
    <w:p w14:paraId="7541766B" w14:textId="77777777" w:rsidR="00B00466" w:rsidRDefault="00B00466" w:rsidP="00B00466">
      <w:pPr>
        <w:pStyle w:val="BodyText"/>
        <w:ind w:firstLine="720"/>
      </w:pPr>
      <w:r>
        <w:t xml:space="preserve">Now that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poly</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mono</m:t>
            </m:r>
          </m:sub>
        </m:sSub>
      </m:oMath>
      <w:r>
        <w:t xml:space="preserve">, and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are known for this example for mass, the </w:t>
      </w:r>
      <w:r>
        <w:rPr>
          <w:i/>
          <w:iCs/>
        </w:rPr>
        <w:t>bioavailable</w:t>
      </w:r>
      <w:r>
        <w:t xml:space="preserve"> </w:t>
      </w:r>
      <w:r>
        <w:rPr>
          <w:i/>
          <w:iCs/>
        </w:rPr>
        <w:t>polydisperse</w:t>
      </w:r>
      <w:r>
        <w:t xml:space="preserve"> effect concentration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for the mass ERM may then be calculated, which is equivalent to: 4,</w:t>
      </w:r>
      <w:r>
        <w:rPr>
          <w:rStyle w:val="VerbatimChar"/>
        </w:rPr>
        <w:t xml:space="preserve">023.2 particles/L. </w:t>
      </w:r>
      <w:r>
        <w:t xml:space="preserve">Again, to relate this </w:t>
      </w:r>
      <w:r>
        <w:rPr>
          <w:i/>
          <w:iCs/>
        </w:rPr>
        <w:t>bioavailable</w:t>
      </w:r>
      <w:r>
        <w:t xml:space="preserve">, </w:t>
      </w:r>
      <w:r>
        <w:rPr>
          <w:i/>
          <w:iCs/>
        </w:rPr>
        <w:t>polydisperse</w:t>
      </w:r>
      <w:r>
        <w:t xml:space="preserve"> effect threshold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r>
              <m:rPr>
                <m:sty m:val="p"/>
              </m:rPr>
              <w:rPr>
                <w:rFonts w:ascii="Cambria Math" w:hAnsi="Cambria Math"/>
              </w:rPr>
              <m:t>,</m:t>
            </m:r>
            <m:r>
              <w:rPr>
                <w:rFonts w:ascii="Cambria Math" w:hAnsi="Cambria Math"/>
              </w:rPr>
              <m:t>m</m:t>
            </m:r>
          </m:sub>
        </m:sSub>
      </m:oMath>
      <w:r>
        <w:t xml:space="preserve">) to an environmentally relevant </w:t>
      </w:r>
      <w:r>
        <w:rPr>
          <w:i/>
          <w:iCs/>
        </w:rPr>
        <w:t>polydisperse</w:t>
      </w:r>
      <w:r>
        <w:t xml:space="preserve"> mixture of particles for the mass ERM, an additional correction must be applied to rescale the threshold to </w:t>
      </w:r>
      <w:r>
        <w:lastRenderedPageBreak/>
        <w:t xml:space="preserve">the size range of interest (e.g. 1-5,000 um) using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identical as for particles. Accordingly,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r>
              <m:rPr>
                <m:sty m:val="p"/>
              </m:rPr>
              <w:rPr>
                <w:rFonts w:ascii="Cambria Math" w:hAnsi="Cambria Math"/>
              </w:rPr>
              <m:t>,</m:t>
            </m:r>
            <m:r>
              <w:rPr>
                <w:rFonts w:ascii="Cambria Math" w:hAnsi="Cambria Math"/>
              </w:rPr>
              <m:t>m</m:t>
            </m:r>
          </m:sub>
        </m:sSub>
      </m:oMath>
      <w:r>
        <w:rPr>
          <w:rFonts w:eastAsiaTheme="minorEastAsia"/>
        </w:rPr>
        <w:t xml:space="preserve"> = </w:t>
      </w:r>
      <w:r>
        <w:rPr>
          <w:rStyle w:val="VerbatimChar"/>
        </w:rPr>
        <w:t>4,048 Particles/L.</w:t>
      </w:r>
    </w:p>
    <w:p w14:paraId="6B68ED37" w14:textId="77777777" w:rsidR="00B00466" w:rsidRDefault="00B00466" w:rsidP="00B00466">
      <w:pPr>
        <w:pStyle w:val="Heading3"/>
      </w:pPr>
      <w:bookmarkStart w:id="3" w:name="specific-surface-area"/>
      <w:bookmarkEnd w:id="2"/>
      <w:r>
        <w:t>Specific Surface Area</w:t>
      </w:r>
    </w:p>
    <w:p w14:paraId="33614B0C" w14:textId="77777777" w:rsidR="00B00466" w:rsidRDefault="00B00466" w:rsidP="00B00466">
      <w:pPr>
        <w:pStyle w:val="FirstParagraph"/>
        <w:ind w:firstLine="720"/>
      </w:pPr>
      <w:r>
        <w:t xml:space="preserve">In the case of an ERM of interest being specific surface area, </w:t>
      </w:r>
      <m:oMath>
        <m:sSub>
          <m:sSubPr>
            <m:ctrlPr>
              <w:rPr>
                <w:rFonts w:ascii="Cambria Math" w:hAnsi="Cambria Math"/>
              </w:rPr>
            </m:ctrlPr>
          </m:sSubPr>
          <m:e>
            <m:r>
              <w:rPr>
                <w:rFonts w:ascii="Cambria Math" w:hAnsi="Cambria Math"/>
              </w:rPr>
              <m:t>μ</m:t>
            </m:r>
          </m:e>
          <m:sub>
            <m:r>
              <w:rPr>
                <w:rFonts w:ascii="Cambria Math" w:hAnsi="Cambria Math"/>
              </w:rPr>
              <m:t>ssa</m:t>
            </m:r>
            <m:r>
              <m:rPr>
                <m:sty m:val="p"/>
              </m:rPr>
              <w:rPr>
                <w:rFonts w:ascii="Cambria Math" w:hAnsi="Cambria Math"/>
              </w:rPr>
              <m:t>,</m:t>
            </m:r>
            <m:r>
              <w:rPr>
                <w:rFonts w:ascii="Cambria Math" w:hAnsi="Cambria Math"/>
              </w:rPr>
              <m:t>mono</m:t>
            </m:r>
          </m:sub>
        </m:sSub>
      </m:oMath>
      <w:r>
        <w:t xml:space="preserve"> is equivalent to the surface area of a 40 µm PE fragment (i.e.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oMath>
      <w:r>
        <w:t>) divided by the mass (i.e. </w:t>
      </w: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mono</m:t>
            </m:r>
          </m:sub>
        </m:sSub>
      </m:oMath>
      <w:r>
        <w:t>), calculated as foll</w:t>
      </w:r>
      <w:proofErr w:type="spellStart"/>
      <w:r>
        <w:t>ows</w:t>
      </w:r>
      <w:proofErr w:type="spellEnd"/>
      <w:r>
        <w:t>:</w:t>
      </w:r>
    </w:p>
    <w:p w14:paraId="3688CCC6" w14:textId="77777777" w:rsidR="00B00466" w:rsidRDefault="00B00466" w:rsidP="00B00466">
      <w:pPr>
        <w:pStyle w:val="BodyText"/>
        <w:ind w:left="720" w:firstLine="720"/>
      </w:pPr>
      <w:r w:rsidRPr="00A761FD">
        <w:rPr>
          <w:rFonts w:eastAsiaTheme="minorEastAsia"/>
          <w:b/>
          <w:bCs/>
        </w:rPr>
        <w:t>Equation S10</w:t>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r>
          <m:rPr>
            <m:sty m:val="p"/>
          </m:rPr>
          <w:rPr>
            <w:rFonts w:ascii="Cambria Math" w:hAnsi="Cambria Math"/>
          </w:rPr>
          <m:t>=</m:t>
        </m:r>
        <m:r>
          <w:rPr>
            <w:rFonts w:ascii="Cambria Math" w:hAnsi="Cambria Math"/>
          </w:rPr>
          <m:t>SSA</m:t>
        </m:r>
        <m:r>
          <m:rPr>
            <m:sty m:val="p"/>
          </m:rPr>
          <w:rPr>
            <w:rFonts w:ascii="Cambria Math" w:hAnsi="Cambria Math"/>
          </w:rPr>
          <m:t>=</m:t>
        </m:r>
        <m:f>
          <m:fPr>
            <m:ctrlPr>
              <w:rPr>
                <w:rFonts w:ascii="Cambria Math" w:hAnsi="Cambria Math"/>
              </w:rPr>
            </m:ctrlPr>
          </m:fPr>
          <m:num>
            <m:r>
              <w:rPr>
                <w:rFonts w:ascii="Cambria Math" w:hAnsi="Cambria Math"/>
              </w:rPr>
              <m:t>SA</m:t>
            </m:r>
          </m:num>
          <m:den>
            <m:r>
              <w:rPr>
                <w:rFonts w:ascii="Cambria Math" w:hAnsi="Cambria Math"/>
              </w:rPr>
              <m:t>m</m:t>
            </m:r>
          </m:den>
        </m:f>
      </m:oMath>
    </w:p>
    <w:p w14:paraId="3924915C" w14:textId="77777777" w:rsidR="00B00466" w:rsidRDefault="00B00466" w:rsidP="00B00466">
      <w:pPr>
        <w:pStyle w:val="BodyText"/>
        <w:rPr>
          <w:rStyle w:val="VerbatimChar"/>
        </w:rPr>
      </w:pPr>
      <w:r>
        <w:t xml:space="preserve">Where </w:t>
      </w:r>
      <w:r>
        <w:rPr>
          <w:i/>
          <w:iCs/>
        </w:rPr>
        <w:t>SA</w:t>
      </w:r>
      <w:r>
        <w:t xml:space="preserve"> is the surface area (um^2) of the particle, and </w:t>
      </w:r>
      <w:r>
        <w:rPr>
          <w:i/>
          <w:iCs/>
        </w:rPr>
        <w:t>m</w:t>
      </w:r>
      <w:r>
        <w:t xml:space="preserve"> is the mass (µg). Accordingly, </w:t>
      </w:r>
      <m:oMath>
        <m:sSub>
          <m:sSubPr>
            <m:ctrlPr>
              <w:rPr>
                <w:rFonts w:ascii="Cambria Math" w:hAnsi="Cambria Math"/>
              </w:rPr>
            </m:ctrlPr>
          </m:sSubPr>
          <m:e>
            <m:r>
              <w:rPr>
                <w:rFonts w:ascii="Cambria Math" w:hAnsi="Cambria Math"/>
              </w:rPr>
              <m:t>μ</m:t>
            </m:r>
          </m:e>
          <m:sub>
            <m:r>
              <w:rPr>
                <w:rFonts w:ascii="Cambria Math" w:hAnsi="Cambria Math"/>
              </w:rPr>
              <m:t>sa</m:t>
            </m:r>
            <m:r>
              <m:rPr>
                <m:sty m:val="p"/>
              </m:rPr>
              <w:rPr>
                <w:rFonts w:ascii="Cambria Math" w:hAnsi="Cambria Math"/>
              </w:rPr>
              <m:t>,</m:t>
            </m:r>
            <m:r>
              <w:rPr>
                <w:rFonts w:ascii="Cambria Math" w:hAnsi="Cambria Math"/>
              </w:rPr>
              <m:t>mono</m:t>
            </m:r>
          </m:sub>
        </m:sSub>
      </m:oMath>
      <w:r>
        <w:rPr>
          <w:rStyle w:val="VerbatimChar"/>
        </w:rPr>
        <w:t xml:space="preserve"> = 2.32</w:t>
      </w:r>
      <w:r w:rsidRPr="00A761FD">
        <w:rPr>
          <w:i/>
          <w:iCs/>
        </w:rPr>
        <w:t xml:space="preserve"> </w:t>
      </w:r>
      <w:r>
        <w:rPr>
          <w:i/>
          <w:iCs/>
        </w:rPr>
        <w:t>x</w:t>
      </w:r>
      <w:r w:rsidRPr="00E520C6">
        <w:t xml:space="preserve"> 10</w:t>
      </w:r>
      <w:r w:rsidRPr="00E520C6">
        <w:rPr>
          <w:vertAlign w:val="superscript"/>
        </w:rPr>
        <w:t>-</w:t>
      </w:r>
      <w:r>
        <w:rPr>
          <w:vertAlign w:val="superscript"/>
        </w:rPr>
        <w:t xml:space="preserve">5 </w:t>
      </w:r>
      <w:r>
        <w:rPr>
          <w:rStyle w:val="VerbatimChar"/>
        </w:rPr>
        <w:t>um</w:t>
      </w:r>
      <w:r w:rsidRPr="00A761FD">
        <w:rPr>
          <w:rStyle w:val="VerbatimChar"/>
          <w:vertAlign w:val="superscript"/>
        </w:rPr>
        <w:t>2</w:t>
      </w:r>
      <w:r>
        <w:rPr>
          <w:rStyle w:val="VerbatimChar"/>
        </w:rPr>
        <w:t>/</w:t>
      </w:r>
      <w:r>
        <w:t>µ</w:t>
      </w:r>
      <w:r>
        <w:rPr>
          <w:rStyle w:val="VerbatimChar"/>
        </w:rPr>
        <w:t>g.</w:t>
      </w:r>
    </w:p>
    <w:p w14:paraId="4AE9508F" w14:textId="77777777" w:rsidR="00B00466" w:rsidRDefault="00B00466" w:rsidP="00B00466">
      <w:pPr>
        <w:pStyle w:val="BodyText"/>
        <w:ind w:firstLine="720"/>
      </w:pPr>
      <w:r>
        <w:t xml:space="preserve">Since the probability distribution of ERM </w:t>
      </w:r>
      <m:oMath>
        <m:r>
          <w:rPr>
            <w:rFonts w:ascii="Cambria Math" w:hAnsi="Cambria Math"/>
          </w:rPr>
          <m:t>ssa</m:t>
        </m:r>
      </m:oMath>
      <w:r>
        <w:t xml:space="preserve"> (specific surface area) follows a power law regime, the mean ERM value for the polydisperse particles, </w:t>
      </w:r>
      <m:oMath>
        <m:sSub>
          <m:sSubPr>
            <m:ctrlPr>
              <w:rPr>
                <w:rFonts w:ascii="Cambria Math" w:hAnsi="Cambria Math"/>
              </w:rPr>
            </m:ctrlPr>
          </m:sSubPr>
          <m:e>
            <m:r>
              <w:rPr>
                <w:rFonts w:ascii="Cambria Math" w:hAnsi="Cambria Math"/>
              </w:rPr>
              <m:t>μ</m:t>
            </m:r>
          </m:e>
          <m:sub>
            <m:r>
              <w:rPr>
                <w:rFonts w:ascii="Cambria Math" w:hAnsi="Cambria Math"/>
              </w:rPr>
              <m:t>ssa</m:t>
            </m:r>
            <m:r>
              <m:rPr>
                <m:sty m:val="p"/>
              </m:rPr>
              <w:rPr>
                <w:rFonts w:ascii="Cambria Math" w:hAnsi="Cambria Math"/>
              </w:rPr>
              <m:t>,</m:t>
            </m:r>
            <m:r>
              <w:rPr>
                <w:rFonts w:ascii="Cambria Math" w:hAnsi="Cambria Math"/>
              </w:rPr>
              <m:t>poly</m:t>
            </m:r>
          </m:sub>
        </m:sSub>
      </m:oMath>
      <w:r>
        <w:t xml:space="preserve">, can be calculated, where UL and LL are respectively defined as the upper and lower limit in ERM </w:t>
      </w:r>
      <m:oMath>
        <m:r>
          <w:rPr>
            <w:rFonts w:ascii="Cambria Math" w:hAnsi="Cambria Math"/>
          </w:rPr>
          <m:t>ssa</m:t>
        </m:r>
      </m:oMath>
      <w:r>
        <w:t xml:space="preserve"> (ssa) for which the mean is calculated, and </w:t>
      </w:r>
      <m:oMath>
        <m:sSub>
          <m:sSubPr>
            <m:ctrlPr>
              <w:rPr>
                <w:rFonts w:ascii="Cambria Math" w:hAnsi="Cambria Math"/>
              </w:rPr>
            </m:ctrlPr>
          </m:sSubPr>
          <m:e>
            <m:r>
              <w:rPr>
                <w:rFonts w:ascii="Cambria Math" w:hAnsi="Cambria Math"/>
              </w:rPr>
              <m:t>a</m:t>
            </m:r>
          </m:e>
          <m:sub>
            <m:r>
              <w:rPr>
                <w:rFonts w:ascii="Cambria Math" w:hAnsi="Cambria Math"/>
              </w:rPr>
              <m:t>ssa</m:t>
            </m:r>
          </m:sub>
        </m:sSub>
      </m:oMath>
      <w:r>
        <w:t xml:space="preserve"> is the power law exponent of specific surface area. For example, marine surface water has an </w:t>
      </w:r>
      <m:oMath>
        <m:sSub>
          <m:sSubPr>
            <m:ctrlPr>
              <w:rPr>
                <w:rFonts w:ascii="Cambria Math" w:hAnsi="Cambria Math"/>
              </w:rPr>
            </m:ctrlPr>
          </m:sSubPr>
          <m:e>
            <m:r>
              <w:rPr>
                <w:rFonts w:ascii="Cambria Math" w:hAnsi="Cambria Math"/>
              </w:rPr>
              <m:t>a</m:t>
            </m:r>
          </m:e>
          <m:sub>
            <m:r>
              <w:rPr>
                <w:rFonts w:ascii="Cambria Math" w:hAnsi="Cambria Math"/>
              </w:rPr>
              <m:t>ssa</m:t>
            </m:r>
          </m:sub>
        </m:sSub>
      </m:oMath>
      <w:r>
        <w:t xml:space="preserve"> of 1.98 (Kooi et al 2021). For specific surface area, </w:t>
      </w:r>
      <w:r w:rsidRPr="00ED7C67">
        <w:rPr>
          <w:i/>
          <w:iCs/>
        </w:rPr>
        <w:t>UL</w:t>
      </w:r>
      <w:r>
        <w:t xml:space="preserve"> and </w:t>
      </w:r>
      <w:r w:rsidRPr="00ED7C67">
        <w:rPr>
          <w:i/>
          <w:iCs/>
        </w:rPr>
        <w:t xml:space="preserve">LL </w:t>
      </w:r>
      <w:r>
        <w:t xml:space="preserve">are area/mass-based upper and lower limits of </w:t>
      </w:r>
      <w:proofErr w:type="spellStart"/>
      <w:r>
        <w:t>bioaccessibility</w:t>
      </w:r>
      <w:proofErr w:type="spellEnd"/>
      <w:r>
        <w:t xml:space="preserve"> based on the width of particles, respectively. To estimate area/mass-based limits based on size, the volume of </w:t>
      </w:r>
      <w:proofErr w:type="spellStart"/>
      <w:r>
        <w:t>bioaccessible</w:t>
      </w:r>
      <w:proofErr w:type="spellEnd"/>
      <w:r>
        <w:t xml:space="preserve"> particles is first calculated using the equation for the surface area of an ellipsoid, then divided by the lower and upper bioavailable mass of particles in the 1-5,000 µm distribution in surface marine water, as calculated above. Accordingly, SSA</w:t>
      </w:r>
      <w:r w:rsidRPr="00654189">
        <w:rPr>
          <w:vertAlign w:val="subscript"/>
        </w:rPr>
        <w:t>UL</w:t>
      </w:r>
      <w:r>
        <w:rPr>
          <w:rStyle w:val="VerbatimChar"/>
        </w:rPr>
        <w:t xml:space="preserve"> </w:t>
      </w:r>
      <w:proofErr w:type="gramStart"/>
      <w:r>
        <w:rPr>
          <w:rStyle w:val="VerbatimChar"/>
        </w:rPr>
        <w:t>=  68,500</w:t>
      </w:r>
      <w:proofErr w:type="gramEnd"/>
      <w:r>
        <w:rPr>
          <w:rStyle w:val="VerbatimChar"/>
        </w:rPr>
        <w:t xml:space="preserve"> um</w:t>
      </w:r>
      <w:r w:rsidRPr="00A761FD">
        <w:rPr>
          <w:rStyle w:val="VerbatimChar"/>
          <w:vertAlign w:val="superscript"/>
        </w:rPr>
        <w:t>2</w:t>
      </w:r>
      <w:r>
        <w:rPr>
          <w:rStyle w:val="VerbatimChar"/>
        </w:rPr>
        <w:t>/</w:t>
      </w:r>
      <w:r>
        <w:t>µ</w:t>
      </w:r>
      <w:r>
        <w:rPr>
          <w:rStyle w:val="VerbatimChar"/>
        </w:rPr>
        <w:t>g ;</w:t>
      </w:r>
      <w:r w:rsidRPr="00A761FD">
        <w:t xml:space="preserve"> </w:t>
      </w:r>
      <w:r>
        <w:t>SSA</w:t>
      </w:r>
      <w:r>
        <w:rPr>
          <w:vertAlign w:val="subscript"/>
        </w:rPr>
        <w:t>L</w:t>
      </w:r>
      <w:r w:rsidRPr="00654189">
        <w:rPr>
          <w:vertAlign w:val="subscript"/>
        </w:rPr>
        <w:t>L</w:t>
      </w:r>
      <w:r>
        <w:rPr>
          <w:rStyle w:val="VerbatimChar"/>
        </w:rPr>
        <w:t xml:space="preserve"> =  7,880,000 um</w:t>
      </w:r>
      <w:r w:rsidRPr="00A761FD">
        <w:rPr>
          <w:rStyle w:val="VerbatimChar"/>
          <w:vertAlign w:val="superscript"/>
        </w:rPr>
        <w:t>2</w:t>
      </w:r>
      <w:r>
        <w:rPr>
          <w:rStyle w:val="VerbatimChar"/>
        </w:rPr>
        <w:t>/</w:t>
      </w:r>
      <w:r>
        <w:t>µ</w:t>
      </w:r>
      <w:r>
        <w:rPr>
          <w:rStyle w:val="VerbatimChar"/>
        </w:rPr>
        <w:t>g.</w:t>
      </w:r>
    </w:p>
    <w:p w14:paraId="73C46B7E" w14:textId="77777777" w:rsidR="00B00466" w:rsidRDefault="00B00466" w:rsidP="00B00466">
      <w:pPr>
        <w:pStyle w:val="FirstParagraph"/>
        <w:ind w:firstLine="720"/>
      </w:pPr>
      <m:oMath>
        <m:sSub>
          <m:sSubPr>
            <m:ctrlPr>
              <w:rPr>
                <w:rFonts w:ascii="Cambria Math" w:hAnsi="Cambria Math"/>
              </w:rPr>
            </m:ctrlPr>
          </m:sSubPr>
          <m:e>
            <m:r>
              <w:rPr>
                <w:rFonts w:ascii="Cambria Math" w:hAnsi="Cambria Math"/>
              </w:rPr>
              <m:t>μ</m:t>
            </m:r>
          </m:e>
          <m:sub>
            <m:r>
              <w:rPr>
                <w:rFonts w:ascii="Cambria Math" w:hAnsi="Cambria Math"/>
              </w:rPr>
              <m:t>m</m:t>
            </m:r>
            <m:r>
              <m:rPr>
                <m:sty m:val="p"/>
              </m:rPr>
              <w:rPr>
                <w:rFonts w:ascii="Cambria Math" w:hAnsi="Cambria Math"/>
              </w:rPr>
              <m:t>,</m:t>
            </m:r>
            <m:r>
              <w:rPr>
                <w:rFonts w:ascii="Cambria Math" w:hAnsi="Cambria Math"/>
              </w:rPr>
              <m:t>poly</m:t>
            </m:r>
          </m:sub>
        </m:sSub>
      </m:oMath>
      <w:r>
        <w:t xml:space="preserve"> may now be calculated given these limits, using an alpha value of </w:t>
      </w:r>
      <m:oMath>
        <m:sSub>
          <m:sSubPr>
            <m:ctrlPr>
              <w:rPr>
                <w:rFonts w:ascii="Cambria Math" w:hAnsi="Cambria Math"/>
              </w:rPr>
            </m:ctrlPr>
          </m:sSubPr>
          <m:e>
            <m:r>
              <w:rPr>
                <w:rFonts w:ascii="Cambria Math" w:hAnsi="Cambria Math"/>
              </w:rPr>
              <m:t>a</m:t>
            </m:r>
          </m:e>
          <m:sub>
            <m:r>
              <w:rPr>
                <w:rFonts w:ascii="Cambria Math" w:hAnsi="Cambria Math"/>
              </w:rPr>
              <m:t>ssa</m:t>
            </m:r>
          </m:sub>
        </m:sSub>
      </m:oMath>
      <w:r>
        <w:t xml:space="preserve"> of 1.98 for the marine surface water environment (Kooi et al 2021), which equates to </w:t>
      </w:r>
      <w:r>
        <w:rPr>
          <w:rStyle w:val="VerbatimChar"/>
        </w:rPr>
        <w:t>337,000 um</w:t>
      </w:r>
      <w:r w:rsidRPr="00A761FD">
        <w:rPr>
          <w:rStyle w:val="VerbatimChar"/>
          <w:vertAlign w:val="superscript"/>
        </w:rPr>
        <w:t>2</w:t>
      </w:r>
      <w:r>
        <w:rPr>
          <w:rStyle w:val="VerbatimChar"/>
        </w:rPr>
        <w:t>/</w:t>
      </w:r>
      <w:r>
        <w:t>µ</w:t>
      </w:r>
      <w:proofErr w:type="spellStart"/>
      <w:r>
        <w:rPr>
          <w:rStyle w:val="VerbatimChar"/>
        </w:rPr>
        <w:t>g.</w:t>
      </w:r>
      <w:r>
        <w:t>Now</w:t>
      </w:r>
      <w:proofErr w:type="spellEnd"/>
      <w:r>
        <w:t xml:space="preserve"> that </w:t>
      </w:r>
      <m:oMath>
        <m:sSub>
          <m:sSubPr>
            <m:ctrlPr>
              <w:rPr>
                <w:rFonts w:ascii="Cambria Math" w:hAnsi="Cambria Math"/>
              </w:rPr>
            </m:ctrlPr>
          </m:sSubPr>
          <m:e>
            <m:r>
              <w:rPr>
                <w:rFonts w:ascii="Cambria Math" w:hAnsi="Cambria Math"/>
              </w:rPr>
              <m:t>μ</m:t>
            </m:r>
          </m:e>
          <m:sub>
            <m:r>
              <w:rPr>
                <w:rFonts w:ascii="Cambria Math" w:hAnsi="Cambria Math"/>
              </w:rPr>
              <m:t>ssa</m:t>
            </m:r>
            <m:r>
              <m:rPr>
                <m:sty m:val="p"/>
              </m:rPr>
              <w:rPr>
                <w:rFonts w:ascii="Cambria Math" w:hAnsi="Cambria Math"/>
              </w:rPr>
              <m:t>,</m:t>
            </m:r>
            <m:r>
              <w:rPr>
                <w:rFonts w:ascii="Cambria Math" w:hAnsi="Cambria Math"/>
              </w:rPr>
              <m:t>poly</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ssa</m:t>
            </m:r>
            <m:r>
              <m:rPr>
                <m:sty m:val="p"/>
              </m:rPr>
              <w:rPr>
                <w:rFonts w:ascii="Cambria Math" w:hAnsi="Cambria Math"/>
              </w:rPr>
              <m:t>,</m:t>
            </m:r>
            <m:r>
              <w:rPr>
                <w:rFonts w:ascii="Cambria Math" w:hAnsi="Cambria Math"/>
              </w:rPr>
              <m:t>mono</m:t>
            </m:r>
          </m:sub>
        </m:sSub>
      </m:oMath>
      <w:r>
        <w:t xml:space="preserve">, and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mono</m:t>
            </m:r>
          </m:sub>
        </m:sSub>
      </m:oMath>
      <w:r>
        <w:t xml:space="preserve"> are known for this example for specific surface area, the </w:t>
      </w:r>
      <w:r>
        <w:rPr>
          <w:i/>
          <w:iCs/>
        </w:rPr>
        <w:t>bioavailable</w:t>
      </w:r>
      <w:r>
        <w:t xml:space="preserve"> </w:t>
      </w:r>
      <w:r>
        <w:rPr>
          <w:i/>
          <w:iCs/>
        </w:rPr>
        <w:t>polydisperse</w:t>
      </w:r>
      <w:r>
        <w:t xml:space="preserve"> effect concentration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sub>
        </m:sSub>
      </m:oMath>
      <w:r>
        <w:t xml:space="preserve"> for the specific surface area ERM may then be calculated, equivalent to: </w:t>
      </w:r>
      <w:r>
        <w:rPr>
          <w:rStyle w:val="VerbatimChar"/>
        </w:rPr>
        <w:t>386.21 particles/L.</w:t>
      </w:r>
    </w:p>
    <w:p w14:paraId="515CB00B" w14:textId="77777777" w:rsidR="00B00466" w:rsidRDefault="00B00466" w:rsidP="00B00466">
      <w:pPr>
        <w:pStyle w:val="FirstParagraph"/>
        <w:ind w:firstLine="720"/>
      </w:pPr>
      <w:r>
        <w:t xml:space="preserve">Again, to relate this </w:t>
      </w:r>
      <w:r>
        <w:rPr>
          <w:i/>
          <w:iCs/>
        </w:rPr>
        <w:t>bioavailable</w:t>
      </w:r>
      <w:r>
        <w:t xml:space="preserve">, </w:t>
      </w:r>
      <w:r>
        <w:rPr>
          <w:i/>
          <w:iCs/>
        </w:rPr>
        <w:t>polydisperse</w:t>
      </w:r>
      <w:r>
        <w:t xml:space="preserve"> effect threshold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poly</m:t>
            </m:r>
            <m:r>
              <m:rPr>
                <m:sty m:val="p"/>
              </m:rPr>
              <w:rPr>
                <w:rFonts w:ascii="Cambria Math" w:hAnsi="Cambria Math"/>
              </w:rPr>
              <m:t>,</m:t>
            </m:r>
            <m:r>
              <w:rPr>
                <w:rFonts w:ascii="Cambria Math" w:hAnsi="Cambria Math"/>
              </w:rPr>
              <m:t>ssa</m:t>
            </m:r>
          </m:sub>
        </m:sSub>
      </m:oMath>
      <w:r>
        <w:t xml:space="preserve">) to an environmentally relevant </w:t>
      </w:r>
      <w:r>
        <w:rPr>
          <w:i/>
          <w:iCs/>
        </w:rPr>
        <w:t>polydisperse</w:t>
      </w:r>
      <w:r>
        <w:t xml:space="preserve"> mixture of particles for the specific surface area ERM, an additional correction must be applied to rescale the threshold to the size range of interest (e.g. 1-5,000 um) using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identical as for particles. </w:t>
      </w:r>
      <w:r>
        <w:rPr>
          <w:rFonts w:eastAsiaTheme="minorEastAsia"/>
        </w:rPr>
        <w:t xml:space="preserve"> Accordingly,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r>
              <m:rPr>
                <m:sty m:val="p"/>
              </m:rPr>
              <w:rPr>
                <w:rFonts w:ascii="Cambria Math" w:hAnsi="Cambria Math"/>
              </w:rPr>
              <m:t>,</m:t>
            </m:r>
            <m:r>
              <w:rPr>
                <w:rFonts w:ascii="Cambria Math" w:hAnsi="Cambria Math"/>
              </w:rPr>
              <m:t>ssa</m:t>
            </m:r>
          </m:sub>
        </m:sSub>
        <m:r>
          <w:rPr>
            <w:rFonts w:ascii="Cambria Math" w:hAnsi="Cambria Math"/>
          </w:rPr>
          <m:t xml:space="preserve"> </m:t>
        </m:r>
      </m:oMath>
      <w:r>
        <w:rPr>
          <w:rStyle w:val="VerbatimChar"/>
        </w:rPr>
        <w:t>= 388.6 Particles/L.</w:t>
      </w:r>
    </w:p>
    <w:p w14:paraId="6BDA65CB" w14:textId="77777777" w:rsidR="00B00466" w:rsidRDefault="00B00466" w:rsidP="00B00466">
      <w:pPr>
        <w:pStyle w:val="Heading2"/>
      </w:pPr>
      <w:bookmarkStart w:id="4" w:name="Xc69d24581b14fdc165fa45b4a4459362c32f541"/>
      <w:bookmarkEnd w:id="3"/>
      <w:r>
        <w:t>Aligning Occurrence Data for Risk Characterization</w:t>
      </w:r>
    </w:p>
    <w:p w14:paraId="348007BF" w14:textId="77777777" w:rsidR="00B00466" w:rsidRDefault="00B00466" w:rsidP="00B00466">
      <w:pPr>
        <w:pStyle w:val="FirstParagraph"/>
        <w:ind w:firstLine="720"/>
      </w:pPr>
      <w:r>
        <w:t>Given an upper limit (</w:t>
      </w:r>
      <w:r w:rsidRPr="00ED7C67">
        <w:rPr>
          <w:i/>
          <w:iCs/>
        </w:rPr>
        <w:t>UL</w:t>
      </w:r>
      <w:r>
        <w:t>) and lower limit (</w:t>
      </w:r>
      <w:r w:rsidRPr="00ED7C67">
        <w:rPr>
          <w:i/>
          <w:iCs/>
        </w:rPr>
        <w:t>LL</w:t>
      </w:r>
      <w:r>
        <w:t>) of the measured (</w:t>
      </w:r>
      <w:r w:rsidRPr="00ED7C67">
        <w:rPr>
          <w:i/>
          <w:iCs/>
        </w:rPr>
        <w:t>M</w:t>
      </w:r>
      <w:r>
        <w:t>) and default size range (</w:t>
      </w:r>
      <w:r w:rsidRPr="00ED7C67">
        <w:rPr>
          <w:i/>
          <w:iCs/>
        </w:rPr>
        <w:t>D</w:t>
      </w:r>
      <w:r>
        <w:t>), a dimensionless correction factor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oMath>
      <w:r>
        <w:t>) for measured environmental concentrations may be calculated, which rescales the measured (</w:t>
      </w:r>
      <w:r w:rsidRPr="00F1605F">
        <w:rPr>
          <w:i/>
          <w:iCs/>
        </w:rPr>
        <w:t>M</w:t>
      </w:r>
      <w:r>
        <w:t>) number concentrations for a certain size range to the number concentration for the microplastics default (</w:t>
      </w:r>
      <w:r w:rsidRPr="00F1605F">
        <w:rPr>
          <w:i/>
          <w:iCs/>
        </w:rPr>
        <w:t>D</w:t>
      </w:r>
      <w:r>
        <w:t>) size range (e.g. 1 to 5,000 µm) according to the power law distribution for length (</w:t>
      </w:r>
      <w:r w:rsidRPr="00F1605F">
        <w:rPr>
          <w:i/>
          <w:iCs/>
        </w:rPr>
        <w:t>L</w:t>
      </w:r>
      <w:r>
        <w:t xml:space="preserve">) with slope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w:t>
      </w:r>
      <w:proofErr w:type="spellStart"/>
      <w:r>
        <w:t>Kooi</w:t>
      </w:r>
      <w:proofErr w:type="spellEnd"/>
      <w:r>
        <w:t xml:space="preserve"> et al, 2021).</w:t>
      </w:r>
      <w:r>
        <w:tab/>
        <w:t xml:space="preserve"> </w:t>
      </w:r>
    </w:p>
    <w:p w14:paraId="2EB5EC8D" w14:textId="77777777" w:rsidR="00B00466" w:rsidRDefault="00B00466" w:rsidP="00B00466">
      <w:pPr>
        <w:pStyle w:val="FirstParagraph"/>
        <w:ind w:firstLine="720"/>
      </w:pPr>
      <w:r>
        <w:lastRenderedPageBreak/>
        <w:t>The following equation (</w:t>
      </w:r>
      <w:r w:rsidRPr="00F1605F">
        <w:t>equation  S11</w:t>
      </w:r>
      <w:r>
        <w:t xml:space="preserve">) for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oMath>
      <w:r>
        <w:t xml:space="preserve"> is identical to the rescaling equation for effect concentrations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Bio</m:t>
            </m:r>
          </m:sub>
        </m:sSub>
      </m:oMath>
      <w:r>
        <w:t xml:space="preserve">) as discussed above (equation S4) except the bioavailable fraction of particles is denoted as </w:t>
      </w:r>
      <w:r w:rsidRPr="00F1605F">
        <w:rPr>
          <w:i/>
          <w:iCs/>
        </w:rPr>
        <w:t>UL,B</w:t>
      </w:r>
      <w:r>
        <w:t xml:space="preserve"> and </w:t>
      </w:r>
      <w:r w:rsidRPr="00F1605F">
        <w:rPr>
          <w:i/>
          <w:iCs/>
        </w:rPr>
        <w:t>LL,B</w:t>
      </w:r>
      <w:r>
        <w:t xml:space="preserve"> on the denominator (Koelmans et al., 2020; </w:t>
      </w:r>
      <w:proofErr w:type="spellStart"/>
      <w:r>
        <w:t>Kooi</w:t>
      </w:r>
      <w:proofErr w:type="spellEnd"/>
      <w:r>
        <w:t xml:space="preserve"> et al., 2021).</w:t>
      </w:r>
    </w:p>
    <w:p w14:paraId="14409F9D" w14:textId="77777777" w:rsidR="00B00466" w:rsidRDefault="00B00466" w:rsidP="00B00466">
      <w:pPr>
        <w:pStyle w:val="BodyText"/>
        <w:ind w:left="720" w:firstLine="720"/>
      </w:pPr>
      <w:r w:rsidRPr="00F1605F">
        <w:rPr>
          <w:rFonts w:eastAsiaTheme="minorEastAsia"/>
          <w:b/>
          <w:bCs/>
        </w:rPr>
        <w:t>Equation S11.</w:t>
      </w:r>
      <w:r>
        <w:rPr>
          <w:rFonts w:eastAsiaTheme="minorEastAsia"/>
        </w:rPr>
        <w:t xml:space="preserve"> </w:t>
      </w:r>
      <w:r>
        <w:rPr>
          <w:rFonts w:eastAsiaTheme="minorEastAsia"/>
        </w:rPr>
        <w:tab/>
      </w:r>
      <w:r>
        <w:rPr>
          <w:rFonts w:eastAsiaTheme="minorEastAsia"/>
        </w:rPr>
        <w:tab/>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D</m:t>
                </m:r>
              </m:sub>
              <m:sup>
                <m:r>
                  <w:rPr>
                    <w:rFonts w:ascii="Cambria Math" w:hAnsi="Cambria Math"/>
                  </w:rPr>
                  <m:t>1</m:t>
                </m:r>
                <m:r>
                  <m:rPr>
                    <m:sty m:val="p"/>
                  </m:rPr>
                  <w:rPr>
                    <w:rFonts w:ascii="Cambria Math" w:hAnsi="Cambria Math"/>
                  </w:rPr>
                  <m:t>-</m:t>
                </m:r>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D</m:t>
                </m:r>
              </m:sub>
              <m:sup>
                <m:r>
                  <w:rPr>
                    <w:rFonts w:ascii="Cambria Math" w:hAnsi="Cambria Math"/>
                  </w:rPr>
                  <m:t>1</m:t>
                </m:r>
                <m:r>
                  <m:rPr>
                    <m:sty m:val="p"/>
                  </m:rPr>
                  <w:rPr>
                    <w:rFonts w:ascii="Cambria Math" w:hAnsi="Cambria Math"/>
                  </w:rPr>
                  <m:t>-</m:t>
                </m:r>
                <m:r>
                  <w:rPr>
                    <w:rFonts w:ascii="Cambria Math" w:hAnsi="Cambria Math"/>
                  </w:rPr>
                  <m:t>a</m:t>
                </m:r>
              </m:sup>
            </m:sSubSup>
          </m:num>
          <m:den>
            <m:sSubSup>
              <m:sSubSupPr>
                <m:ctrlPr>
                  <w:rPr>
                    <w:rFonts w:ascii="Cambria Math" w:hAnsi="Cambria Math"/>
                  </w:rPr>
                </m:ctrlPr>
              </m:sSubSupPr>
              <m:e>
                <m:r>
                  <w:rPr>
                    <w:rFonts w:ascii="Cambria Math" w:hAnsi="Cambria Math"/>
                  </w:rPr>
                  <m:t>L</m:t>
                </m:r>
              </m:e>
              <m:sub>
                <m:r>
                  <w:rPr>
                    <w:rFonts w:ascii="Cambria Math" w:hAnsi="Cambria Math"/>
                  </w:rPr>
                  <m:t>UL</m:t>
                </m:r>
                <m:r>
                  <m:rPr>
                    <m:sty m:val="p"/>
                  </m:rPr>
                  <w:rPr>
                    <w:rFonts w:ascii="Cambria Math" w:hAnsi="Cambria Math"/>
                  </w:rPr>
                  <m:t>,</m:t>
                </m:r>
                <m:r>
                  <w:rPr>
                    <w:rFonts w:ascii="Cambria Math" w:hAnsi="Cambria Math"/>
                  </w:rPr>
                  <m:t>M</m:t>
                </m:r>
              </m:sub>
              <m:sup>
                <m:r>
                  <w:rPr>
                    <w:rFonts w:ascii="Cambria Math" w:hAnsi="Cambria Math"/>
                  </w:rPr>
                  <m:t>1</m:t>
                </m:r>
                <m:r>
                  <m:rPr>
                    <m:sty m:val="p"/>
                  </m:rPr>
                  <w:rPr>
                    <w:rFonts w:ascii="Cambria Math" w:hAnsi="Cambria Math"/>
                  </w:rPr>
                  <m:t>-</m:t>
                </m:r>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LL</m:t>
                </m:r>
                <m:r>
                  <m:rPr>
                    <m:sty m:val="p"/>
                  </m:rPr>
                  <w:rPr>
                    <w:rFonts w:ascii="Cambria Math" w:hAnsi="Cambria Math"/>
                  </w:rPr>
                  <m:t>,</m:t>
                </m:r>
                <m:r>
                  <w:rPr>
                    <w:rFonts w:ascii="Cambria Math" w:hAnsi="Cambria Math"/>
                  </w:rPr>
                  <m:t>M</m:t>
                </m:r>
              </m:sub>
              <m:sup>
                <m:r>
                  <w:rPr>
                    <w:rFonts w:ascii="Cambria Math" w:hAnsi="Cambria Math"/>
                  </w:rPr>
                  <m:t>1</m:t>
                </m:r>
                <m:r>
                  <m:rPr>
                    <m:sty m:val="p"/>
                  </m:rPr>
                  <w:rPr>
                    <w:rFonts w:ascii="Cambria Math" w:hAnsi="Cambria Math"/>
                  </w:rPr>
                  <m:t>-</m:t>
                </m:r>
                <m:r>
                  <w:rPr>
                    <w:rFonts w:ascii="Cambria Math" w:hAnsi="Cambria Math"/>
                  </w:rPr>
                  <m:t>a</m:t>
                </m:r>
              </m:sup>
            </m:sSubSup>
          </m:den>
        </m:f>
      </m:oMath>
    </w:p>
    <w:p w14:paraId="0E37FAF7" w14:textId="77777777" w:rsidR="00B00466" w:rsidRDefault="00B00466" w:rsidP="00B00466">
      <w:pPr>
        <w:pStyle w:val="BodyText"/>
        <w:ind w:firstLine="720"/>
      </w:pPr>
      <w:r>
        <w:t>As an example, a measured marine surface water concentration of 10 particles/L for particle size ranges 300 - 5,000 µm is used. To compare this unaligned concentration to the environmentally relevant (1 - 5,000 um) effect threshold (</w:t>
      </w:r>
      <w:proofErr w:type="spellStart"/>
      <w:r>
        <w:t>EC_env</w:t>
      </w:r>
      <w:proofErr w:type="spellEnd"/>
      <w:r>
        <w:t xml:space="preserve">) in particles/L (calculated above),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oMath>
      <w:r>
        <w:t xml:space="preserve"> is first calcu</w:t>
      </w:r>
      <w:proofErr w:type="spellStart"/>
      <w:r>
        <w:t>lated</w:t>
      </w:r>
      <w:proofErr w:type="spellEnd"/>
      <w:r>
        <w:t xml:space="preserve"> using equation S11, which equates to </w:t>
      </w:r>
      <w:r>
        <w:rPr>
          <w:rStyle w:val="VerbatimChar"/>
        </w:rPr>
        <w:t xml:space="preserve">470.3. </w:t>
      </w:r>
      <w:r>
        <w:t>The resulting correction factor (</w:t>
      </w: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meas</m:t>
            </m:r>
          </m:sub>
        </m:sSub>
      </m:oMath>
      <w:r>
        <w:t>; unitless) is then multiplied by the measured concentration (</w:t>
      </w:r>
      <m:oMath>
        <m:sSub>
          <m:sSubPr>
            <m:ctrlPr>
              <w:rPr>
                <w:rFonts w:ascii="Cambria Math" w:hAnsi="Cambria Math"/>
              </w:rPr>
            </m:ctrlPr>
          </m:sSubPr>
          <m:e>
            <m:r>
              <w:rPr>
                <w:rFonts w:ascii="Cambria Math" w:hAnsi="Cambria Math"/>
              </w:rPr>
              <m:t>C</m:t>
            </m:r>
          </m:e>
          <m:sub>
            <m:r>
              <w:rPr>
                <w:rFonts w:ascii="Cambria Math" w:hAnsi="Cambria Math"/>
              </w:rPr>
              <m:t>Meas</m:t>
            </m:r>
          </m:sub>
        </m:sSub>
        <m:r>
          <w:rPr>
            <w:rFonts w:ascii="Cambria Math" w:hAnsi="Cambria Math"/>
          </w:rPr>
          <m:t>;</m:t>
        </m:r>
        <m:r>
          <m:rPr>
            <m:sty m:val="p"/>
          </m:rPr>
          <w:rPr>
            <w:rFonts w:ascii="Cambria Math" w:hAnsi="Cambria Math"/>
          </w:rPr>
          <m:t>i.e. 10 particles/L</m:t>
        </m:r>
      </m:oMath>
      <w:r>
        <w:t xml:space="preserve">) to obtain a rescaled exposure number concentration using equation S4, which equates to </w:t>
      </w:r>
      <w:r>
        <w:rPr>
          <w:rStyle w:val="VerbatimChar"/>
        </w:rPr>
        <w:t>4,703 particles/L.</w:t>
      </w:r>
    </w:p>
    <w:p w14:paraId="14A3A0A9" w14:textId="77777777" w:rsidR="00B00466" w:rsidRPr="005A69FC" w:rsidRDefault="00B00466" w:rsidP="00B00466">
      <w:pPr>
        <w:pStyle w:val="FirstParagraph"/>
        <w:ind w:firstLine="720"/>
      </w:pPr>
      <w:r>
        <w:t xml:space="preserve">This measured rescaled environmental concentration </w:t>
      </w:r>
      <m:oMath>
        <m:sSub>
          <m:sSubPr>
            <m:ctrlPr>
              <w:rPr>
                <w:rFonts w:ascii="Cambria Math" w:hAnsi="Cambria Math"/>
              </w:rPr>
            </m:ctrlPr>
          </m:sSubPr>
          <m:e>
            <m:r>
              <w:rPr>
                <w:rFonts w:ascii="Cambria Math" w:hAnsi="Cambria Math"/>
              </w:rPr>
              <m:t>C</m:t>
            </m:r>
          </m:e>
          <m:sub>
            <m:r>
              <w:rPr>
                <w:rFonts w:ascii="Cambria Math" w:hAnsi="Cambria Math"/>
              </w:rPr>
              <m:t>env</m:t>
            </m:r>
          </m:sub>
        </m:sSub>
      </m:oMath>
      <w:r>
        <w:t xml:space="preserve"> may then be directly compared to the rescaled effect thresholds for various ERM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env</m:t>
            </m:r>
            <m:r>
              <m:rPr>
                <m:sty m:val="p"/>
              </m:rPr>
              <w:rPr>
                <w:rFonts w:ascii="Cambria Math" w:hAnsi="Cambria Math"/>
              </w:rPr>
              <m:t>,</m:t>
            </m:r>
            <m:r>
              <w:rPr>
                <w:rFonts w:ascii="Cambria Math" w:hAnsi="Cambria Math"/>
              </w:rPr>
              <m:t>x</m:t>
            </m:r>
          </m:sub>
        </m:sSub>
      </m:oMath>
      <w:r>
        <w:t xml:space="preserve"> to determine if risk is present using the traditional risk quotient formula (effect concentration divided by environmental concentration), whereby a ratio greater than one is indicative of a likelihood risk, and a ratio less than one is indicative of a low likelihood of risk.</w:t>
      </w:r>
    </w:p>
    <w:tbl>
      <w:tblPr>
        <w:tblStyle w:val="TableGrid"/>
        <w:tblW w:w="4855" w:type="dxa"/>
        <w:jc w:val="center"/>
        <w:tblLook w:val="04A0" w:firstRow="1" w:lastRow="0" w:firstColumn="1" w:lastColumn="0" w:noHBand="0" w:noVBand="1"/>
      </w:tblPr>
      <w:tblGrid>
        <w:gridCol w:w="2430"/>
        <w:gridCol w:w="717"/>
        <w:gridCol w:w="1708"/>
      </w:tblGrid>
      <w:tr w:rsidR="00B00466" w:rsidRPr="00E273BF" w14:paraId="19D2F878" w14:textId="77777777" w:rsidTr="004775E6">
        <w:trPr>
          <w:trHeight w:val="288"/>
          <w:jc w:val="center"/>
        </w:trPr>
        <w:tc>
          <w:tcPr>
            <w:tcW w:w="2430" w:type="dxa"/>
            <w:noWrap/>
            <w:hideMark/>
          </w:tcPr>
          <w:p w14:paraId="64573F72" w14:textId="77777777" w:rsidR="00B00466" w:rsidRPr="00E273BF" w:rsidRDefault="00B00466" w:rsidP="004775E6">
            <w:pPr>
              <w:spacing w:line="240" w:lineRule="auto"/>
              <w:jc w:val="center"/>
              <w:rPr>
                <w:rFonts w:ascii="Calibri" w:eastAsia="Times New Roman" w:hAnsi="Calibri" w:cs="Calibri"/>
                <w:i/>
                <w:iCs/>
                <w:color w:val="000000"/>
                <w:lang w:val="en-US"/>
              </w:rPr>
            </w:pPr>
            <w:r w:rsidRPr="00E273BF">
              <w:rPr>
                <w:rFonts w:ascii="Calibri" w:eastAsia="Times New Roman" w:hAnsi="Calibri" w:cs="Calibri"/>
                <w:i/>
                <w:iCs/>
                <w:color w:val="000000"/>
                <w:lang w:val="en-US"/>
              </w:rPr>
              <w:t>ERM</w:t>
            </w:r>
          </w:p>
        </w:tc>
        <w:tc>
          <w:tcPr>
            <w:tcW w:w="717" w:type="dxa"/>
            <w:noWrap/>
            <w:hideMark/>
          </w:tcPr>
          <w:p w14:paraId="0229E045" w14:textId="77777777" w:rsidR="00B00466" w:rsidRPr="00E273BF" w:rsidRDefault="00B00466" w:rsidP="004775E6">
            <w:pPr>
              <w:spacing w:line="240" w:lineRule="auto"/>
              <w:rPr>
                <w:rFonts w:ascii="Calibri" w:eastAsia="Times New Roman" w:hAnsi="Calibri" w:cs="Calibri"/>
                <w:i/>
                <w:iCs/>
                <w:color w:val="000000"/>
                <w:lang w:val="en-US"/>
              </w:rPr>
            </w:pPr>
            <w:proofErr w:type="spellStart"/>
            <w:r w:rsidRPr="00E273BF">
              <w:rPr>
                <w:rFonts w:ascii="Calibri" w:eastAsia="Times New Roman" w:hAnsi="Calibri" w:cs="Calibri"/>
                <w:i/>
                <w:iCs/>
                <w:color w:val="000000"/>
                <w:lang w:val="en-US"/>
              </w:rPr>
              <w:t>EC</w:t>
            </w:r>
            <w:r w:rsidRPr="00E273BF">
              <w:rPr>
                <w:rFonts w:ascii="Calibri" w:eastAsia="Times New Roman" w:hAnsi="Calibri" w:cs="Calibri"/>
                <w:i/>
                <w:iCs/>
                <w:color w:val="000000"/>
                <w:vertAlign w:val="subscript"/>
                <w:lang w:val="en-US"/>
              </w:rPr>
              <w:t>env</w:t>
            </w:r>
            <w:proofErr w:type="spellEnd"/>
          </w:p>
        </w:tc>
        <w:tc>
          <w:tcPr>
            <w:tcW w:w="1708" w:type="dxa"/>
            <w:noWrap/>
            <w:hideMark/>
          </w:tcPr>
          <w:p w14:paraId="1B8D611B" w14:textId="77777777" w:rsidR="00B00466" w:rsidRPr="00E273BF" w:rsidRDefault="00B00466" w:rsidP="004775E6">
            <w:pPr>
              <w:spacing w:line="240" w:lineRule="auto"/>
              <w:jc w:val="center"/>
              <w:rPr>
                <w:rFonts w:ascii="Calibri" w:eastAsia="Times New Roman" w:hAnsi="Calibri" w:cs="Calibri"/>
                <w:i/>
                <w:iCs/>
                <w:color w:val="000000"/>
                <w:lang w:val="en-US"/>
              </w:rPr>
            </w:pPr>
            <w:proofErr w:type="spellStart"/>
            <w:r w:rsidRPr="00E273BF">
              <w:rPr>
                <w:rFonts w:ascii="Calibri" w:eastAsia="Times New Roman" w:hAnsi="Calibri" w:cs="Calibri"/>
                <w:i/>
                <w:iCs/>
                <w:color w:val="000000"/>
                <w:lang w:val="en-US"/>
              </w:rPr>
              <w:t>EC</w:t>
            </w:r>
            <w:r w:rsidRPr="00E273BF">
              <w:rPr>
                <w:rFonts w:ascii="Calibri" w:eastAsia="Times New Roman" w:hAnsi="Calibri" w:cs="Calibri"/>
                <w:i/>
                <w:iCs/>
                <w:color w:val="000000"/>
                <w:vertAlign w:val="subscript"/>
                <w:lang w:val="en-US"/>
              </w:rPr>
              <w:t>env</w:t>
            </w:r>
            <w:proofErr w:type="spellEnd"/>
            <w:r>
              <w:rPr>
                <w:rFonts w:ascii="Calibri" w:eastAsia="Times New Roman" w:hAnsi="Calibri" w:cs="Calibri"/>
                <w:i/>
                <w:iCs/>
                <w:color w:val="000000"/>
                <w:lang w:val="en-US"/>
              </w:rPr>
              <w:t xml:space="preserve"> / </w:t>
            </w:r>
            <w:proofErr w:type="spellStart"/>
            <w:r>
              <w:rPr>
                <w:rFonts w:ascii="Calibri" w:eastAsia="Times New Roman" w:hAnsi="Calibri" w:cs="Calibri"/>
                <w:i/>
                <w:iCs/>
                <w:color w:val="000000"/>
                <w:lang w:val="en-US"/>
              </w:rPr>
              <w:t>C</w:t>
            </w:r>
            <w:r w:rsidRPr="00E273BF">
              <w:rPr>
                <w:rFonts w:ascii="Calibri" w:eastAsia="Times New Roman" w:hAnsi="Calibri" w:cs="Calibri"/>
                <w:i/>
                <w:iCs/>
                <w:color w:val="000000"/>
                <w:vertAlign w:val="subscript"/>
                <w:lang w:val="en-US"/>
              </w:rPr>
              <w:t>env</w:t>
            </w:r>
            <w:proofErr w:type="spellEnd"/>
          </w:p>
        </w:tc>
      </w:tr>
      <w:tr w:rsidR="00B00466" w:rsidRPr="00E273BF" w14:paraId="412EEBBA" w14:textId="77777777" w:rsidTr="004775E6">
        <w:trPr>
          <w:trHeight w:val="288"/>
          <w:jc w:val="center"/>
        </w:trPr>
        <w:tc>
          <w:tcPr>
            <w:tcW w:w="2430" w:type="dxa"/>
            <w:noWrap/>
            <w:hideMark/>
          </w:tcPr>
          <w:p w14:paraId="4D92CBCA" w14:textId="77777777" w:rsidR="00B00466" w:rsidRPr="00E273BF" w:rsidRDefault="00B00466" w:rsidP="004775E6">
            <w:pPr>
              <w:spacing w:line="240" w:lineRule="auto"/>
              <w:rPr>
                <w:rFonts w:ascii="Calibri" w:eastAsia="Times New Roman" w:hAnsi="Calibri" w:cs="Calibri"/>
                <w:color w:val="000000"/>
                <w:lang w:val="en-US"/>
              </w:rPr>
            </w:pPr>
            <w:r w:rsidRPr="00E273BF">
              <w:rPr>
                <w:rFonts w:ascii="Calibri" w:eastAsia="Times New Roman" w:hAnsi="Calibri" w:cs="Calibri"/>
                <w:color w:val="000000"/>
                <w:lang w:val="en-US"/>
              </w:rPr>
              <w:t>Particles</w:t>
            </w:r>
          </w:p>
        </w:tc>
        <w:tc>
          <w:tcPr>
            <w:tcW w:w="717" w:type="dxa"/>
            <w:noWrap/>
            <w:hideMark/>
          </w:tcPr>
          <w:p w14:paraId="13A0E711" w14:textId="77777777" w:rsidR="00B00466" w:rsidRPr="00E273BF" w:rsidRDefault="00B00466" w:rsidP="004775E6">
            <w:pPr>
              <w:spacing w:line="240" w:lineRule="auto"/>
              <w:jc w:val="right"/>
              <w:rPr>
                <w:rFonts w:ascii="Calibri" w:eastAsia="Times New Roman" w:hAnsi="Calibri" w:cs="Calibri"/>
                <w:color w:val="000000"/>
                <w:lang w:val="en-US"/>
              </w:rPr>
            </w:pPr>
            <w:r w:rsidRPr="00E273BF">
              <w:rPr>
                <w:rFonts w:ascii="Calibri" w:eastAsia="Times New Roman" w:hAnsi="Calibri" w:cs="Calibri"/>
                <w:color w:val="000000"/>
                <w:lang w:val="en-US"/>
              </w:rPr>
              <w:t>130</w:t>
            </w:r>
          </w:p>
        </w:tc>
        <w:tc>
          <w:tcPr>
            <w:tcW w:w="1708" w:type="dxa"/>
            <w:noWrap/>
            <w:hideMark/>
          </w:tcPr>
          <w:p w14:paraId="1ECD331F" w14:textId="77777777" w:rsidR="00B00466" w:rsidRPr="00E273BF" w:rsidRDefault="00B00466" w:rsidP="004775E6">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36</w:t>
            </w:r>
          </w:p>
        </w:tc>
      </w:tr>
      <w:tr w:rsidR="00B00466" w:rsidRPr="00E273BF" w14:paraId="66449E09" w14:textId="77777777" w:rsidTr="004775E6">
        <w:trPr>
          <w:trHeight w:val="288"/>
          <w:jc w:val="center"/>
        </w:trPr>
        <w:tc>
          <w:tcPr>
            <w:tcW w:w="2430" w:type="dxa"/>
            <w:noWrap/>
            <w:hideMark/>
          </w:tcPr>
          <w:p w14:paraId="401612A4" w14:textId="77777777" w:rsidR="00B00466" w:rsidRPr="00E273BF" w:rsidRDefault="00B00466" w:rsidP="004775E6">
            <w:pPr>
              <w:spacing w:line="240" w:lineRule="auto"/>
              <w:rPr>
                <w:rFonts w:ascii="Calibri" w:eastAsia="Times New Roman" w:hAnsi="Calibri" w:cs="Calibri"/>
                <w:color w:val="000000"/>
                <w:lang w:val="en-US"/>
              </w:rPr>
            </w:pPr>
            <w:r w:rsidRPr="00E273BF">
              <w:rPr>
                <w:rFonts w:ascii="Calibri" w:eastAsia="Times New Roman" w:hAnsi="Calibri" w:cs="Calibri"/>
                <w:color w:val="000000"/>
                <w:lang w:val="en-US"/>
              </w:rPr>
              <w:t>Volume</w:t>
            </w:r>
          </w:p>
        </w:tc>
        <w:tc>
          <w:tcPr>
            <w:tcW w:w="717" w:type="dxa"/>
            <w:noWrap/>
            <w:hideMark/>
          </w:tcPr>
          <w:p w14:paraId="29D5EFC7" w14:textId="77777777" w:rsidR="00B00466" w:rsidRPr="00E273BF" w:rsidRDefault="00B00466" w:rsidP="004775E6">
            <w:pPr>
              <w:spacing w:line="240" w:lineRule="auto"/>
              <w:jc w:val="right"/>
              <w:rPr>
                <w:rFonts w:ascii="Calibri" w:eastAsia="Times New Roman" w:hAnsi="Calibri" w:cs="Calibri"/>
                <w:color w:val="000000"/>
                <w:lang w:val="en-US"/>
              </w:rPr>
            </w:pPr>
            <w:r w:rsidRPr="00E273BF">
              <w:rPr>
                <w:rFonts w:ascii="Calibri" w:eastAsia="Times New Roman" w:hAnsi="Calibri" w:cs="Calibri"/>
                <w:color w:val="000000"/>
                <w:lang w:val="en-US"/>
              </w:rPr>
              <w:t>374</w:t>
            </w:r>
          </w:p>
        </w:tc>
        <w:tc>
          <w:tcPr>
            <w:tcW w:w="1708" w:type="dxa"/>
            <w:noWrap/>
            <w:hideMark/>
          </w:tcPr>
          <w:p w14:paraId="0F5C62BD" w14:textId="77777777" w:rsidR="00B00466" w:rsidRPr="00E273BF" w:rsidRDefault="00B00466" w:rsidP="004775E6">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13</w:t>
            </w:r>
          </w:p>
        </w:tc>
      </w:tr>
      <w:tr w:rsidR="00B00466" w:rsidRPr="00E273BF" w14:paraId="5F1471CF" w14:textId="77777777" w:rsidTr="004775E6">
        <w:trPr>
          <w:trHeight w:val="288"/>
          <w:jc w:val="center"/>
        </w:trPr>
        <w:tc>
          <w:tcPr>
            <w:tcW w:w="2430" w:type="dxa"/>
            <w:noWrap/>
            <w:hideMark/>
          </w:tcPr>
          <w:p w14:paraId="716FB401" w14:textId="77777777" w:rsidR="00B00466" w:rsidRPr="00E273BF" w:rsidRDefault="00B00466" w:rsidP="004775E6">
            <w:pPr>
              <w:spacing w:line="240" w:lineRule="auto"/>
              <w:rPr>
                <w:rFonts w:ascii="Calibri" w:eastAsia="Times New Roman" w:hAnsi="Calibri" w:cs="Calibri"/>
                <w:color w:val="000000"/>
                <w:lang w:val="en-US"/>
              </w:rPr>
            </w:pPr>
            <w:r w:rsidRPr="00E273BF">
              <w:rPr>
                <w:rFonts w:ascii="Calibri" w:eastAsia="Times New Roman" w:hAnsi="Calibri" w:cs="Calibri"/>
                <w:color w:val="000000"/>
                <w:lang w:val="en-US"/>
              </w:rPr>
              <w:t>Surface Area</w:t>
            </w:r>
          </w:p>
        </w:tc>
        <w:tc>
          <w:tcPr>
            <w:tcW w:w="717" w:type="dxa"/>
            <w:noWrap/>
            <w:hideMark/>
          </w:tcPr>
          <w:p w14:paraId="65598A6A" w14:textId="77777777" w:rsidR="00B00466" w:rsidRPr="00E273BF" w:rsidRDefault="00B00466" w:rsidP="004775E6">
            <w:pPr>
              <w:spacing w:line="240" w:lineRule="auto"/>
              <w:jc w:val="right"/>
              <w:rPr>
                <w:rFonts w:ascii="Calibri" w:eastAsia="Times New Roman" w:hAnsi="Calibri" w:cs="Calibri"/>
                <w:color w:val="000000"/>
                <w:lang w:val="en-US"/>
              </w:rPr>
            </w:pPr>
            <w:r w:rsidRPr="00E273BF">
              <w:rPr>
                <w:rFonts w:ascii="Calibri" w:eastAsia="Times New Roman" w:hAnsi="Calibri" w:cs="Calibri"/>
                <w:color w:val="000000"/>
                <w:lang w:val="en-US"/>
              </w:rPr>
              <w:t>7</w:t>
            </w:r>
            <w:r>
              <w:rPr>
                <w:rFonts w:ascii="Calibri" w:eastAsia="Times New Roman" w:hAnsi="Calibri" w:cs="Calibri"/>
                <w:color w:val="000000"/>
                <w:lang w:val="en-US"/>
              </w:rPr>
              <w:t>,</w:t>
            </w:r>
            <w:r w:rsidRPr="00E273BF">
              <w:rPr>
                <w:rFonts w:ascii="Calibri" w:eastAsia="Times New Roman" w:hAnsi="Calibri" w:cs="Calibri"/>
                <w:color w:val="000000"/>
                <w:lang w:val="en-US"/>
              </w:rPr>
              <w:t>872</w:t>
            </w:r>
          </w:p>
        </w:tc>
        <w:tc>
          <w:tcPr>
            <w:tcW w:w="1708" w:type="dxa"/>
            <w:noWrap/>
            <w:hideMark/>
          </w:tcPr>
          <w:p w14:paraId="371FEEAF" w14:textId="77777777" w:rsidR="00B00466" w:rsidRPr="00E273BF" w:rsidRDefault="00B00466" w:rsidP="004775E6">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0.60</w:t>
            </w:r>
          </w:p>
        </w:tc>
      </w:tr>
      <w:tr w:rsidR="00B00466" w:rsidRPr="00E273BF" w14:paraId="2DB92301" w14:textId="77777777" w:rsidTr="004775E6">
        <w:trPr>
          <w:trHeight w:val="288"/>
          <w:jc w:val="center"/>
        </w:trPr>
        <w:tc>
          <w:tcPr>
            <w:tcW w:w="2430" w:type="dxa"/>
            <w:noWrap/>
            <w:hideMark/>
          </w:tcPr>
          <w:p w14:paraId="2E5F01EB" w14:textId="77777777" w:rsidR="00B00466" w:rsidRPr="00E273BF" w:rsidRDefault="00B00466" w:rsidP="004775E6">
            <w:pPr>
              <w:spacing w:line="240" w:lineRule="auto"/>
              <w:rPr>
                <w:rFonts w:ascii="Calibri" w:eastAsia="Times New Roman" w:hAnsi="Calibri" w:cs="Calibri"/>
                <w:color w:val="000000"/>
                <w:lang w:val="en-US"/>
              </w:rPr>
            </w:pPr>
            <w:r w:rsidRPr="00E273BF">
              <w:rPr>
                <w:rFonts w:ascii="Calibri" w:eastAsia="Times New Roman" w:hAnsi="Calibri" w:cs="Calibri"/>
                <w:color w:val="000000"/>
                <w:lang w:val="en-US"/>
              </w:rPr>
              <w:t>Mass</w:t>
            </w:r>
          </w:p>
        </w:tc>
        <w:tc>
          <w:tcPr>
            <w:tcW w:w="717" w:type="dxa"/>
            <w:noWrap/>
            <w:hideMark/>
          </w:tcPr>
          <w:p w14:paraId="0DD9678B" w14:textId="77777777" w:rsidR="00B00466" w:rsidRPr="00E273BF" w:rsidRDefault="00B00466" w:rsidP="004775E6">
            <w:pPr>
              <w:spacing w:line="240" w:lineRule="auto"/>
              <w:jc w:val="right"/>
              <w:rPr>
                <w:rFonts w:ascii="Calibri" w:eastAsia="Times New Roman" w:hAnsi="Calibri" w:cs="Calibri"/>
                <w:color w:val="000000"/>
                <w:lang w:val="en-US"/>
              </w:rPr>
            </w:pPr>
            <w:r w:rsidRPr="00E273BF">
              <w:rPr>
                <w:rFonts w:ascii="Calibri" w:eastAsia="Times New Roman" w:hAnsi="Calibri" w:cs="Calibri"/>
                <w:color w:val="000000"/>
                <w:lang w:val="en-US"/>
              </w:rPr>
              <w:t>4</w:t>
            </w:r>
            <w:r>
              <w:rPr>
                <w:rFonts w:ascii="Calibri" w:eastAsia="Times New Roman" w:hAnsi="Calibri" w:cs="Calibri"/>
                <w:color w:val="000000"/>
                <w:lang w:val="en-US"/>
              </w:rPr>
              <w:t>,</w:t>
            </w:r>
            <w:r w:rsidRPr="00E273BF">
              <w:rPr>
                <w:rFonts w:ascii="Calibri" w:eastAsia="Times New Roman" w:hAnsi="Calibri" w:cs="Calibri"/>
                <w:color w:val="000000"/>
                <w:lang w:val="en-US"/>
              </w:rPr>
              <w:t>048</w:t>
            </w:r>
          </w:p>
        </w:tc>
        <w:tc>
          <w:tcPr>
            <w:tcW w:w="1708" w:type="dxa"/>
            <w:noWrap/>
            <w:hideMark/>
          </w:tcPr>
          <w:p w14:paraId="68660ACC" w14:textId="77777777" w:rsidR="00B00466" w:rsidRPr="00E273BF" w:rsidRDefault="00B00466" w:rsidP="004775E6">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1.2</w:t>
            </w:r>
          </w:p>
        </w:tc>
      </w:tr>
      <w:tr w:rsidR="00B00466" w:rsidRPr="00E273BF" w14:paraId="2F71DDC6" w14:textId="77777777" w:rsidTr="004775E6">
        <w:trPr>
          <w:trHeight w:val="288"/>
          <w:jc w:val="center"/>
        </w:trPr>
        <w:tc>
          <w:tcPr>
            <w:tcW w:w="2430" w:type="dxa"/>
            <w:noWrap/>
            <w:hideMark/>
          </w:tcPr>
          <w:p w14:paraId="3280B09C" w14:textId="77777777" w:rsidR="00B00466" w:rsidRPr="00E273BF" w:rsidRDefault="00B00466" w:rsidP="004775E6">
            <w:pPr>
              <w:spacing w:line="240" w:lineRule="auto"/>
              <w:rPr>
                <w:rFonts w:ascii="Calibri" w:eastAsia="Times New Roman" w:hAnsi="Calibri" w:cs="Calibri"/>
                <w:color w:val="000000"/>
                <w:lang w:val="en-US"/>
              </w:rPr>
            </w:pPr>
            <w:r w:rsidRPr="00E273BF">
              <w:rPr>
                <w:rFonts w:ascii="Calibri" w:eastAsia="Times New Roman" w:hAnsi="Calibri" w:cs="Calibri"/>
                <w:color w:val="000000"/>
                <w:lang w:val="en-US"/>
              </w:rPr>
              <w:t>Specific Surface Area</w:t>
            </w:r>
          </w:p>
        </w:tc>
        <w:tc>
          <w:tcPr>
            <w:tcW w:w="717" w:type="dxa"/>
            <w:noWrap/>
            <w:hideMark/>
          </w:tcPr>
          <w:p w14:paraId="0E0422F2" w14:textId="77777777" w:rsidR="00B00466" w:rsidRPr="00E273BF" w:rsidRDefault="00B00466" w:rsidP="004775E6">
            <w:pPr>
              <w:spacing w:line="240" w:lineRule="auto"/>
              <w:jc w:val="right"/>
              <w:rPr>
                <w:rFonts w:ascii="Calibri" w:eastAsia="Times New Roman" w:hAnsi="Calibri" w:cs="Calibri"/>
                <w:color w:val="000000"/>
                <w:lang w:val="en-US"/>
              </w:rPr>
            </w:pPr>
            <w:r w:rsidRPr="00E273BF">
              <w:rPr>
                <w:rFonts w:ascii="Calibri" w:eastAsia="Times New Roman" w:hAnsi="Calibri" w:cs="Calibri"/>
                <w:color w:val="000000"/>
                <w:lang w:val="en-US"/>
              </w:rPr>
              <w:t>389</w:t>
            </w:r>
          </w:p>
        </w:tc>
        <w:tc>
          <w:tcPr>
            <w:tcW w:w="1708" w:type="dxa"/>
            <w:noWrap/>
            <w:hideMark/>
          </w:tcPr>
          <w:p w14:paraId="4FBD6253" w14:textId="77777777" w:rsidR="00B00466" w:rsidRPr="00E273BF" w:rsidRDefault="00B00466" w:rsidP="004775E6">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12</w:t>
            </w:r>
          </w:p>
        </w:tc>
      </w:tr>
    </w:tbl>
    <w:p w14:paraId="3E55C3AE" w14:textId="77777777" w:rsidR="00B00466" w:rsidRPr="00C02940" w:rsidRDefault="00B00466" w:rsidP="00B00466">
      <w:pPr>
        <w:pStyle w:val="FirstParagraph"/>
        <w:ind w:firstLine="720"/>
      </w:pPr>
      <w:r>
        <w:t xml:space="preserve">In this example, the rescaled environmental concentration is higher than the rescaled effect thresholds for all ERMs except for surface area, therefore if risk occurs for this species, it would likely be through a </w:t>
      </w:r>
      <w:proofErr w:type="spellStart"/>
      <w:r>
        <w:t>a</w:t>
      </w:r>
      <w:proofErr w:type="spellEnd"/>
      <w:r>
        <w:t xml:space="preserve"> food-dilution based mechanism (i.e. ERM  = volume) or other ERM predicted by mass or specific surface area, as opposed to a tissue translocation mechanism of action (i.e. ERM = surface area).</w:t>
      </w:r>
      <w:bookmarkEnd w:id="4"/>
    </w:p>
    <w:p w14:paraId="52D8D56B" w14:textId="77777777" w:rsidR="00B827A2" w:rsidRDefault="00B00466"/>
    <w:sectPr w:rsidR="00B8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711EB"/>
    <w:multiLevelType w:val="multilevel"/>
    <w:tmpl w:val="415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15FEB"/>
    <w:multiLevelType w:val="multilevel"/>
    <w:tmpl w:val="E6863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A2136"/>
    <w:multiLevelType w:val="multilevel"/>
    <w:tmpl w:val="874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66"/>
    <w:rsid w:val="003C1352"/>
    <w:rsid w:val="00B00466"/>
    <w:rsid w:val="00EF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D25"/>
  <w15:chartTrackingRefBased/>
  <w15:docId w15:val="{AB9E664B-251B-40A5-B481-1410744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66"/>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B0046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00466"/>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B00466"/>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B00466"/>
    <w:pPr>
      <w:keepNext/>
      <w:keepLines/>
      <w:spacing w:before="280" w:after="80"/>
      <w:ind w:left="720"/>
      <w:outlineLvl w:val="3"/>
    </w:pPr>
    <w:rPr>
      <w:color w:val="666666"/>
      <w:sz w:val="24"/>
      <w:szCs w:val="24"/>
    </w:rPr>
  </w:style>
  <w:style w:type="paragraph" w:styleId="Heading5">
    <w:name w:val="heading 5"/>
    <w:basedOn w:val="Normal"/>
    <w:next w:val="Normal"/>
    <w:link w:val="Heading5Char"/>
    <w:uiPriority w:val="9"/>
    <w:unhideWhenUsed/>
    <w:qFormat/>
    <w:rsid w:val="00B00466"/>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B00466"/>
    <w:pPr>
      <w:keepNext/>
      <w:keepLines/>
      <w:spacing w:before="240" w:after="80"/>
      <w:ind w:left="1440"/>
      <w:outlineLvl w:val="5"/>
    </w:pPr>
    <w:rPr>
      <w: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66"/>
    <w:rPr>
      <w:rFonts w:ascii="Arial" w:eastAsia="Arial" w:hAnsi="Arial" w:cs="Arial"/>
      <w:sz w:val="40"/>
      <w:szCs w:val="40"/>
      <w:lang w:val="en"/>
    </w:rPr>
  </w:style>
  <w:style w:type="character" w:customStyle="1" w:styleId="Heading2Char">
    <w:name w:val="Heading 2 Char"/>
    <w:basedOn w:val="DefaultParagraphFont"/>
    <w:link w:val="Heading2"/>
    <w:uiPriority w:val="9"/>
    <w:rsid w:val="00B00466"/>
    <w:rPr>
      <w:rFonts w:ascii="Arial" w:eastAsia="Arial" w:hAnsi="Arial" w:cs="Arial"/>
      <w:sz w:val="32"/>
      <w:szCs w:val="32"/>
      <w:lang w:val="en"/>
    </w:rPr>
  </w:style>
  <w:style w:type="character" w:customStyle="1" w:styleId="Heading3Char">
    <w:name w:val="Heading 3 Char"/>
    <w:basedOn w:val="DefaultParagraphFont"/>
    <w:link w:val="Heading3"/>
    <w:uiPriority w:val="9"/>
    <w:rsid w:val="00B00466"/>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00466"/>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rsid w:val="00B00466"/>
    <w:rPr>
      <w:rFonts w:ascii="Arial" w:eastAsia="Arial" w:hAnsi="Arial" w:cs="Arial"/>
      <w:color w:val="666666"/>
      <w:lang w:val="en"/>
    </w:rPr>
  </w:style>
  <w:style w:type="character" w:customStyle="1" w:styleId="Heading6Char">
    <w:name w:val="Heading 6 Char"/>
    <w:basedOn w:val="DefaultParagraphFont"/>
    <w:link w:val="Heading6"/>
    <w:uiPriority w:val="9"/>
    <w:rsid w:val="00B00466"/>
    <w:rPr>
      <w:rFonts w:ascii="Arial" w:eastAsia="Arial" w:hAnsi="Arial" w:cs="Arial"/>
      <w:i/>
      <w:color w:val="44546A" w:themeColor="text2"/>
      <w:lang w:val="en"/>
    </w:rPr>
  </w:style>
  <w:style w:type="paragraph" w:styleId="Title">
    <w:name w:val="Title"/>
    <w:basedOn w:val="Normal"/>
    <w:next w:val="Normal"/>
    <w:link w:val="TitleChar"/>
    <w:uiPriority w:val="10"/>
    <w:qFormat/>
    <w:rsid w:val="00B00466"/>
    <w:pPr>
      <w:keepNext/>
      <w:keepLines/>
      <w:spacing w:after="60"/>
    </w:pPr>
    <w:rPr>
      <w:sz w:val="52"/>
      <w:szCs w:val="52"/>
    </w:rPr>
  </w:style>
  <w:style w:type="character" w:customStyle="1" w:styleId="TitleChar">
    <w:name w:val="Title Char"/>
    <w:basedOn w:val="DefaultParagraphFont"/>
    <w:link w:val="Title"/>
    <w:uiPriority w:val="10"/>
    <w:rsid w:val="00B00466"/>
    <w:rPr>
      <w:rFonts w:ascii="Arial" w:eastAsia="Arial" w:hAnsi="Arial" w:cs="Arial"/>
      <w:sz w:val="52"/>
      <w:szCs w:val="52"/>
      <w:lang w:val="en"/>
    </w:rPr>
  </w:style>
  <w:style w:type="paragraph" w:styleId="Subtitle">
    <w:name w:val="Subtitle"/>
    <w:basedOn w:val="Normal"/>
    <w:next w:val="Normal"/>
    <w:link w:val="SubtitleChar"/>
    <w:uiPriority w:val="11"/>
    <w:qFormat/>
    <w:rsid w:val="00B00466"/>
    <w:pPr>
      <w:keepNext/>
      <w:keepLines/>
      <w:spacing w:after="320"/>
    </w:pPr>
    <w:rPr>
      <w:color w:val="666666"/>
      <w:sz w:val="30"/>
      <w:szCs w:val="30"/>
    </w:rPr>
  </w:style>
  <w:style w:type="character" w:customStyle="1" w:styleId="SubtitleChar">
    <w:name w:val="Subtitle Char"/>
    <w:basedOn w:val="DefaultParagraphFont"/>
    <w:link w:val="Subtitle"/>
    <w:uiPriority w:val="11"/>
    <w:rsid w:val="00B00466"/>
    <w:rPr>
      <w:rFonts w:ascii="Arial" w:eastAsia="Arial" w:hAnsi="Arial" w:cs="Arial"/>
      <w:color w:val="666666"/>
      <w:sz w:val="30"/>
      <w:szCs w:val="30"/>
      <w:lang w:val="en"/>
    </w:rPr>
  </w:style>
  <w:style w:type="paragraph" w:styleId="FootnoteText">
    <w:name w:val="footnote text"/>
    <w:basedOn w:val="Normal"/>
    <w:link w:val="FootnoteTextChar"/>
    <w:uiPriority w:val="99"/>
    <w:semiHidden/>
    <w:unhideWhenUsed/>
    <w:rsid w:val="00B00466"/>
    <w:pPr>
      <w:spacing w:line="240" w:lineRule="auto"/>
    </w:pPr>
    <w:rPr>
      <w:sz w:val="20"/>
      <w:szCs w:val="20"/>
    </w:rPr>
  </w:style>
  <w:style w:type="character" w:customStyle="1" w:styleId="FootnoteTextChar">
    <w:name w:val="Footnote Text Char"/>
    <w:basedOn w:val="DefaultParagraphFont"/>
    <w:link w:val="FootnoteText"/>
    <w:uiPriority w:val="99"/>
    <w:semiHidden/>
    <w:rsid w:val="00B00466"/>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B00466"/>
    <w:rPr>
      <w:vertAlign w:val="superscript"/>
    </w:rPr>
  </w:style>
  <w:style w:type="paragraph" w:styleId="Bibliography">
    <w:name w:val="Bibliography"/>
    <w:basedOn w:val="Normal"/>
    <w:next w:val="Normal"/>
    <w:uiPriority w:val="37"/>
    <w:unhideWhenUsed/>
    <w:rsid w:val="00B00466"/>
    <w:pPr>
      <w:spacing w:line="240" w:lineRule="auto"/>
      <w:ind w:left="720" w:hanging="720"/>
    </w:pPr>
  </w:style>
  <w:style w:type="paragraph" w:styleId="NormalWeb">
    <w:name w:val="Normal (Web)"/>
    <w:basedOn w:val="Normal"/>
    <w:uiPriority w:val="99"/>
    <w:semiHidden/>
    <w:unhideWhenUsed/>
    <w:rsid w:val="00B004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004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66"/>
    <w:rPr>
      <w:rFonts w:ascii="Segoe UI" w:eastAsia="Arial" w:hAnsi="Segoe UI" w:cs="Segoe UI"/>
      <w:sz w:val="18"/>
      <w:szCs w:val="18"/>
      <w:lang w:val="en"/>
    </w:rPr>
  </w:style>
  <w:style w:type="paragraph" w:styleId="BodyText">
    <w:name w:val="Body Text"/>
    <w:basedOn w:val="Normal"/>
    <w:link w:val="BodyTextChar"/>
    <w:qFormat/>
    <w:rsid w:val="00B00466"/>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00466"/>
    <w:rPr>
      <w:sz w:val="24"/>
      <w:szCs w:val="24"/>
    </w:rPr>
  </w:style>
  <w:style w:type="paragraph" w:customStyle="1" w:styleId="FirstParagraph">
    <w:name w:val="First Paragraph"/>
    <w:basedOn w:val="BodyText"/>
    <w:next w:val="BodyText"/>
    <w:qFormat/>
    <w:rsid w:val="00B00466"/>
  </w:style>
  <w:style w:type="character" w:customStyle="1" w:styleId="VerbatimChar">
    <w:name w:val="Verbatim Char"/>
    <w:basedOn w:val="DefaultParagraphFont"/>
    <w:link w:val="SourceCode"/>
    <w:rsid w:val="00B00466"/>
    <w:rPr>
      <w:rFonts w:ascii="Consolas" w:hAnsi="Consolas"/>
      <w:shd w:val="clear" w:color="auto" w:fill="F8F8F8"/>
    </w:rPr>
  </w:style>
  <w:style w:type="character" w:styleId="Hyperlink">
    <w:name w:val="Hyperlink"/>
    <w:basedOn w:val="DefaultParagraphFont"/>
    <w:rsid w:val="00B00466"/>
    <w:rPr>
      <w:color w:val="4472C4" w:themeColor="accent1"/>
    </w:rPr>
  </w:style>
  <w:style w:type="paragraph" w:customStyle="1" w:styleId="SourceCode">
    <w:name w:val="Source Code"/>
    <w:basedOn w:val="Normal"/>
    <w:link w:val="VerbatimChar"/>
    <w:rsid w:val="00B00466"/>
    <w:pPr>
      <w:shd w:val="clear" w:color="auto" w:fill="F8F8F8"/>
      <w:wordWrap w:val="0"/>
      <w:spacing w:after="200" w:line="240" w:lineRule="auto"/>
    </w:pPr>
    <w:rPr>
      <w:rFonts w:ascii="Consolas" w:eastAsiaTheme="minorHAnsi" w:hAnsi="Consolas" w:cstheme="minorBidi"/>
      <w:lang w:val="en-US"/>
    </w:rPr>
  </w:style>
  <w:style w:type="table" w:styleId="TableGrid">
    <w:name w:val="Table Grid"/>
    <w:basedOn w:val="TableNormal"/>
    <w:uiPriority w:val="39"/>
    <w:rsid w:val="00B00466"/>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71883F2983240B6E491D588366211" ma:contentTypeVersion="14" ma:contentTypeDescription="Create a new document." ma:contentTypeScope="" ma:versionID="5e55131471194fadee75a71cb0a38fca">
  <xsd:schema xmlns:xsd="http://www.w3.org/2001/XMLSchema" xmlns:xs="http://www.w3.org/2001/XMLSchema" xmlns:p="http://schemas.microsoft.com/office/2006/metadata/properties" xmlns:ns3="5204c27f-60f7-49bb-a536-18f8f47f4373" xmlns:ns4="891bdd1d-ba27-403b-a4cc-21ba34b3f493" targetNamespace="http://schemas.microsoft.com/office/2006/metadata/properties" ma:root="true" ma:fieldsID="cda03f4a482d0c06e65c8d80cb850303" ns3:_="" ns4:_="">
    <xsd:import namespace="5204c27f-60f7-49bb-a536-18f8f47f4373"/>
    <xsd:import namespace="891bdd1d-ba27-403b-a4cc-21ba34b3f4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4c27f-60f7-49bb-a536-18f8f47f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bdd1d-ba27-403b-a4cc-21ba34b3f4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1E010E-CFFD-4EAC-9901-E09EBEDD1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4c27f-60f7-49bb-a536-18f8f47f4373"/>
    <ds:schemaRef ds:uri="891bdd1d-ba27-403b-a4cc-21ba34b3f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48E64-22D1-40BB-8CED-0D8239B81032}">
  <ds:schemaRefs>
    <ds:schemaRef ds:uri="http://schemas.microsoft.com/sharepoint/v3/contenttype/forms"/>
  </ds:schemaRefs>
</ds:datastoreItem>
</file>

<file path=customXml/itemProps3.xml><?xml version="1.0" encoding="utf-8"?>
<ds:datastoreItem xmlns:ds="http://schemas.openxmlformats.org/officeDocument/2006/customXml" ds:itemID="{A1BE3B45-E2CC-44BE-8E4A-56198F4E2F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3013</Words>
  <Characters>17175</Characters>
  <Application>Microsoft Office Word</Application>
  <DocSecurity>0</DocSecurity>
  <Lines>143</Lines>
  <Paragraphs>40</Paragraphs>
  <ScaleCrop>false</ScaleCrop>
  <Company>SWRCB</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Coffin, Scott@Waterboards</dc:creator>
  <cp:keywords/>
  <dc:description/>
  <cp:lastModifiedBy>Coffin, Scott@Waterboards</cp:lastModifiedBy>
  <cp:revision>1</cp:revision>
  <dcterms:created xsi:type="dcterms:W3CDTF">2021-08-10T02:11:00Z</dcterms:created>
  <dcterms:modified xsi:type="dcterms:W3CDTF">2021-08-10T02:12:00Z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0x010100AA071883F2983240B6E491D588366211</vt:lpwstr>
  </property>
</Properties>
</file>