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Gemini image prompts for Catherine, Anita and Devi journeys</w:t>
      </w:r>
    </w:p>
    <w:p>
      <w:pPr>
        <w:pStyle w:val="Author"/>
      </w:pPr>
      <w:r>
        <w:t xml:space="preserve">Scott Eason</w:t>
      </w:r>
    </w:p>
    <w:bookmarkStart w:id="44" w:name="X26172445de9622ba8bd84ea0bfa471f22aa60b9"/>
    <w:p>
      <w:pPr>
        <w:pStyle w:val="Heading1"/>
      </w:pPr>
      <w:r>
        <w:t xml:space="preserve">Gemini image prompts — Catherine, Anita, Devi Journeys</w:t>
      </w:r>
    </w:p>
    <w:p>
      <w:pPr>
        <w:pStyle w:val="FirstParagraph"/>
      </w:pPr>
      <w:r>
        <w:t xml:space="preserve">All images to match the existing Sarah/Adam/Layla journey illustration style: soft editorial illustration, muted mid-tones, warm skin light, NHS blue and gold accents (deep navy #003087, warm amber/gold, soft off-white paper backgrounds), semi-flat with light shadowing, no photographic realism, no logos, no on-image text, no watermarks. All figures rendered at approachable working-professional register — not glamour, not corporate stock. Faces readable but not identifying.</w:t>
      </w:r>
    </w:p>
    <w:p>
      <w:pPr>
        <w:pStyle w:val="BodyText"/>
      </w:pPr>
      <w:r>
        <w:t xml:space="preserve">Aspect ratio for stage illustrations: 16:9 landscape, 1600 × 900 minimum.</w:t>
      </w:r>
      <w:r>
        <w:t xml:space="preserve"> </w:t>
      </w:r>
      <w:r>
        <w:t xml:space="preserve">Aspect ratio for portraits: 1:1 square, 1024 × 1024, centred bust with soft background.</w:t>
      </w:r>
      <w:r>
        <w:t xml:space="preserve"> </w:t>
      </w:r>
      <w:r>
        <w:t xml:space="preserve">Aspect ratio for interlude: 16:9 landscape, atmospheric spacer image.</w:t>
      </w:r>
    </w:p>
    <w:p>
      <w:pPr>
        <w:pStyle w:val="BodyText"/>
      </w:pPr>
      <w:r>
        <w:t xml:space="preserve">Save each file to the persona’s Story folder using the naming convention shown.</w:t>
      </w:r>
    </w:p>
    <w:p>
      <w:r>
        <w:pict>
          <v:rect style="width:0;height:1.5pt" o:hralign="center" o:hrstd="t" o:hr="t"/>
        </w:pict>
      </w:r>
    </w:p>
    <w:bookmarkStart w:id="20" w:name="devi-portrait"/>
    <w:p>
      <w:pPr>
        <w:pStyle w:val="Heading2"/>
      </w:pPr>
      <w:r>
        <w:t xml:space="preserve">1. Devi portrait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Assets/Personas/devi.png</w:t>
      </w:r>
    </w:p>
    <w:p>
      <w:pPr>
        <w:pStyle w:val="BodyText"/>
      </w:pPr>
      <w:r>
        <w:t xml:space="preserve">British Nigerian woman in her mid-late forties, warm intelligent face, slight smile, natural short natural hair or low bun. She’s a care coordinator — dressed practically but sharp: a soft-collared blouse or lightweight cardigan in muted colour, minimal jewellery. Sitting or standing three-quarter to camera against a soft off-white paper background with a subtle NHS-blue radial glow behind her shoulder. Editorial illustration in the same soft-flat style as Sarah, Adam and Hannah in the existing set. Warm, competent, unhurried. No text, no logo, no NHS branding on clothing.</w:t>
      </w:r>
    </w:p>
    <w:p>
      <w:r>
        <w:pict>
          <v:rect style="width:0;height:1.5pt" o:hralign="center" o:hrstd="t" o:hr="t"/>
        </w:pict>
      </w:r>
    </w:p>
    <w:bookmarkEnd w:id="20"/>
    <w:bookmarkStart w:id="27" w:name="catherine-journey-6-stage-illustrations"/>
    <w:p>
      <w:pPr>
        <w:pStyle w:val="Heading2"/>
      </w:pPr>
      <w:r>
        <w:t xml:space="preserve">2. Catherine Journey — 6 stage illustrations</w:t>
      </w:r>
    </w:p>
    <w:p>
      <w:pPr>
        <w:pStyle w:val="FirstParagraph"/>
      </w:pPr>
      <w:r>
        <w:t xml:space="preserve">Catherine is an ICB commissioner. Style anchor: match Sarah’s six commissioner stages already delivered — quiet institutional settings, papers and dashboards, few figures, atmosphere over detail. Muted palette, warm side-light, NHS-blue accents in signage or interface glow.</w:t>
      </w:r>
    </w:p>
    <w:p>
      <w:pPr>
        <w:pStyle w:val="BodyText"/>
      </w:pPr>
      <w:r>
        <w:rPr>
          <w:bCs/>
          <w:b/>
        </w:rPr>
        <w:t xml:space="preserve">Save to:</w:t>
      </w:r>
      <w:r>
        <w:t xml:space="preserve"> </w:t>
      </w:r>
      <w:r>
        <w:rPr>
          <w:rStyle w:val="VerbatimChar"/>
        </w:rPr>
        <w:t xml:space="preserve">Assets/Catherine Story/</w:t>
      </w:r>
    </w:p>
    <w:bookmarkStart w:id="21" w:name="X963093eb0a0e8b598339e0e0e8ffc24a54a9779"/>
    <w:p>
      <w:pPr>
        <w:pStyle w:val="Heading3"/>
      </w:pPr>
      <w:r>
        <w:rPr>
          <w:rStyle w:val="VerbatimChar"/>
        </w:rPr>
        <w:t xml:space="preserve">catherine-stage1.png</w:t>
      </w:r>
      <w:r>
        <w:t xml:space="preserve"> </w:t>
      </w:r>
      <w:r>
        <w:t xml:space="preserve">— The brief · a gap on the dashboard</w:t>
      </w:r>
    </w:p>
    <w:p>
      <w:pPr>
        <w:pStyle w:val="FirstParagraph"/>
      </w:pPr>
      <w:r>
        <w:t xml:space="preserve">A dark-walnut ICB office at desk-height. On the desk: a single-monitor display showing a soft caseload map with a subtle amber cluster highlighted, alongside a printed board paper with a Post-it note. A woman’s hands rest on the papers. The window behind shows early evening light on a Trust building silhouette. Deep-navy panel across the top of the frame with soft amber accent on the highlighted cluster. Contemplative, quietly serious. No visible text.</w:t>
      </w:r>
    </w:p>
    <w:bookmarkEnd w:id="21"/>
    <w:bookmarkStart w:id="22" w:name="Xec10a31f3101ecc5b59d1228dd34abd20c7402b"/>
    <w:p>
      <w:pPr>
        <w:pStyle w:val="Heading3"/>
      </w:pPr>
      <w:r>
        <w:rPr>
          <w:rStyle w:val="VerbatimChar"/>
        </w:rPr>
        <w:t xml:space="preserve">catherine-stage2.png</w:t>
      </w:r>
      <w:r>
        <w:t xml:space="preserve"> </w:t>
      </w:r>
      <w:r>
        <w:t xml:space="preserve">— One front door · the framework opens</w:t>
      </w:r>
    </w:p>
    <w:p>
      <w:pPr>
        <w:pStyle w:val="FirstParagraph"/>
      </w:pPr>
      <w:r>
        <w:t xml:space="preserve">The same desk, later. A cleaner, more organised composition: an interface panel shows a national framework page with a soft grid of supplier tiles (indistinct) and a callout box. Beside it, a clinical safety case starter template overlaid on a clipboard. Light is calmer, more confident. NHS-blue accent on the framework interface, warm amber on the callout. Feel: something snapping into focus.</w:t>
      </w:r>
    </w:p>
    <w:bookmarkEnd w:id="22"/>
    <w:bookmarkStart w:id="23" w:name="Xd611a7c3c28608d598fba4dfb2207673961295e"/>
    <w:p>
      <w:pPr>
        <w:pStyle w:val="Heading3"/>
      </w:pPr>
      <w:r>
        <w:rPr>
          <w:rStyle w:val="VerbatimChar"/>
        </w:rPr>
        <w:t xml:space="preserve">catherine-stage3.png</w:t>
      </w:r>
      <w:r>
        <w:t xml:space="preserve"> </w:t>
      </w:r>
      <w:r>
        <w:t xml:space="preserve">— Fit for HER cohort · the questions standard answers don’t solve</w:t>
      </w:r>
    </w:p>
    <w:p>
      <w:pPr>
        <w:pStyle w:val="FirstParagraph"/>
      </w:pPr>
      <w:r>
        <w:t xml:space="preserve">A meeting-room whiteboard scene. Semi-flat illustration: two figures (backs to camera, Catherine one of them) standing at a whiteboard with a workflow diagram — capillary PSA sample → lab → EPR write-back → consultant review. One figure holds a marker. Sticky notes in soft amber and NHS-blue on the whiteboard. Papers on the table below show consultant urologist notes (indistinct). Working, collaborative energy. Not corporate.</w:t>
      </w:r>
    </w:p>
    <w:bookmarkEnd w:id="23"/>
    <w:bookmarkStart w:id="24" w:name="X35dabc5b08db9dca71cc8fb07011e4d56d614e3"/>
    <w:p>
      <w:pPr>
        <w:pStyle w:val="Heading3"/>
      </w:pPr>
      <w:r>
        <w:rPr>
          <w:rStyle w:val="VerbatimChar"/>
        </w:rPr>
        <w:t xml:space="preserve">catherine-stage4.png</w:t>
      </w:r>
      <w:r>
        <w:t xml:space="preserve"> </w:t>
      </w:r>
      <w:r>
        <w:t xml:space="preserve">— Call-off · a signature that carries</w:t>
      </w:r>
    </w:p>
    <w:p>
      <w:pPr>
        <w:pStyle w:val="FirstParagraph"/>
      </w:pPr>
      <w:r>
        <w:t xml:space="preserve">A close-up composition: hands signing a call-off document with a fountain pen; the document header is dark navy with subtle gold detail; a second document in the periphery shows an appended clinical safety case; a laptop screen edge shows a supplier admission confirmation. Warm side-light. Feel: a moment of decisive commitment.</w:t>
      </w:r>
    </w:p>
    <w:bookmarkEnd w:id="24"/>
    <w:bookmarkStart w:id="25" w:name="X9f04bdc71df37a3ad1dd9488909cd6d327e44ea"/>
    <w:p>
      <w:pPr>
        <w:pStyle w:val="Heading3"/>
      </w:pPr>
      <w:r>
        <w:rPr>
          <w:rStyle w:val="VerbatimChar"/>
        </w:rPr>
        <w:t xml:space="preserve">catherine-stage5.png</w:t>
      </w:r>
      <w:r>
        <w:t xml:space="preserve"> </w:t>
      </w:r>
      <w:r>
        <w:t xml:space="preserve">— Live operation · the pathway running</w:t>
      </w:r>
    </w:p>
    <w:p>
      <w:pPr>
        <w:pStyle w:val="FirstParagraph"/>
      </w:pPr>
      <w:r>
        <w:t xml:space="preserve">A quiet Trust corridor scene: a consultant urologist in mid-conversation with a colleague near a wall-mounted display showing an AS caseload dashboard (indistinct chart shapes). A patient in the middle distance receives a kit through a hospital reception. Two moments in one frame: the consultant’s confidence, the patient’s calm. NHS-blue signage accents. Warm midday light through high windows.</w:t>
      </w:r>
    </w:p>
    <w:bookmarkEnd w:id="25"/>
    <w:bookmarkStart w:id="26" w:name="X5ae75e47268f425ea62b65f90e9b141367551bb"/>
    <w:p>
      <w:pPr>
        <w:pStyle w:val="Heading3"/>
      </w:pPr>
      <w:r>
        <w:rPr>
          <w:rStyle w:val="VerbatimChar"/>
        </w:rPr>
        <w:t xml:space="preserve">catherine-stage6.png</w:t>
      </w:r>
      <w:r>
        <w:t xml:space="preserve"> </w:t>
      </w:r>
      <w:r>
        <w:t xml:space="preserve">— The board paper · year-two extension</w:t>
      </w:r>
    </w:p>
    <w:p>
      <w:pPr>
        <w:pStyle w:val="FirstParagraph"/>
      </w:pPr>
      <w:r>
        <w:t xml:space="preserve">A boardroom scene from an angle, semi-flat. A woman (Catherine) standing at the head of a long table, papers in hand, delivering to five seated ICB executives (backs and profiles). On the wall behind her, a projected slide shows a caseload trend and a supplementary</w:t>
      </w:r>
      <w:r>
        <w:t xml:space="preserve"> </w:t>
      </w:r>
      <w:r>
        <w:t xml:space="preserve">“</w:t>
      </w:r>
      <w:r>
        <w:t xml:space="preserve">next pathway</w:t>
      </w:r>
      <w:r>
        <w:t xml:space="preserve">”</w:t>
      </w:r>
      <w:r>
        <w:t xml:space="preserve"> </w:t>
      </w:r>
      <w:r>
        <w:t xml:space="preserve">tile. Papers on the table. Composed, in-command atmosphere. Warm tungsten light. No text on the projection.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anita-journey-6-stage-illustrations"/>
    <w:p>
      <w:pPr>
        <w:pStyle w:val="Heading2"/>
      </w:pPr>
      <w:r>
        <w:t xml:space="preserve">3. Anita Journey — 6 stage illustrations</w:t>
      </w:r>
    </w:p>
    <w:p>
      <w:pPr>
        <w:pStyle w:val="FirstParagraph"/>
      </w:pPr>
      <w:r>
        <w:t xml:space="preserve">Anita is an ICB/GP commissioner working the primary-care surveillance layer. Style anchor: match Sarah’s commissioner journey — quieter primary-care contexts, community-scale, warmer domestic edges creeping in. Muted palette, NHS-blue and gold accents.</w:t>
      </w:r>
    </w:p>
    <w:p>
      <w:pPr>
        <w:pStyle w:val="BodyText"/>
      </w:pPr>
      <w:r>
        <w:rPr>
          <w:bCs/>
          <w:b/>
        </w:rPr>
        <w:t xml:space="preserve">Save to:</w:t>
      </w:r>
      <w:r>
        <w:t xml:space="preserve"> </w:t>
      </w:r>
      <w:r>
        <w:rPr>
          <w:rStyle w:val="VerbatimChar"/>
        </w:rPr>
        <w:t xml:space="preserve">Assets/Anita Story/</w:t>
      </w:r>
    </w:p>
    <w:bookmarkStart w:id="28" w:name="X2ae819cb00cd1abd9005982e0e80cb95091e166"/>
    <w:p>
      <w:pPr>
        <w:pStyle w:val="Heading3"/>
      </w:pPr>
      <w:r>
        <w:rPr>
          <w:rStyle w:val="VerbatimChar"/>
        </w:rPr>
        <w:t xml:space="preserve">anita-stage1.png</w:t>
      </w:r>
      <w:r>
        <w:t xml:space="preserve"> </w:t>
      </w:r>
      <w:r>
        <w:t xml:space="preserve">— The brief · the register the practice can’t hold</w:t>
      </w:r>
    </w:p>
    <w:p>
      <w:pPr>
        <w:pStyle w:val="FirstParagraph"/>
      </w:pPr>
      <w:r>
        <w:t xml:space="preserve">A community-health office scene at desk-height. On the desk: a monitor showing a soft at-risk register list with amber flags on overdue reviews, alongside a printed community-health-profile document. A woman’s hands hold a mug in one, a pen in the other. Window behind shows a suburban street. Feel: the quiet realisation of a gap that keeps growing. Deep-navy top panel, amber accent on the overdue rows. No visible text.</w:t>
      </w:r>
    </w:p>
    <w:bookmarkEnd w:id="28"/>
    <w:bookmarkStart w:id="29" w:name="X7a1385b2310a9bbc3eb2990d7995e468dddf8e8"/>
    <w:p>
      <w:pPr>
        <w:pStyle w:val="Heading3"/>
      </w:pPr>
      <w:r>
        <w:rPr>
          <w:rStyle w:val="VerbatimChar"/>
        </w:rPr>
        <w:t xml:space="preserve">anita-stage2.png</w:t>
      </w:r>
      <w:r>
        <w:t xml:space="preserve"> </w:t>
      </w:r>
      <w:r>
        <w:t xml:space="preserve">— One front door · the framework opens for HbA1c</w:t>
      </w:r>
    </w:p>
    <w:p>
      <w:pPr>
        <w:pStyle w:val="FirstParagraph"/>
      </w:pPr>
      <w:r>
        <w:t xml:space="preserve">The same desk, later. A cleaner composition: interface panel shows a national framework page with an HbA1c configuration tile highlighted, next to a callout showing the QOF and NHS DPP referral pathway signals. Soft NHS-blue accent, gold on the callout. Focus and clarity. Feel: something clicking into place for primary care specifically.</w:t>
      </w:r>
    </w:p>
    <w:bookmarkEnd w:id="29"/>
    <w:bookmarkStart w:id="30" w:name="Xe532a85515614ba00ffd4321beebd6d76b47041"/>
    <w:p>
      <w:pPr>
        <w:pStyle w:val="Heading3"/>
      </w:pPr>
      <w:r>
        <w:rPr>
          <w:rStyle w:val="VerbatimChar"/>
        </w:rPr>
        <w:t xml:space="preserve">anita-stage3.png</w:t>
      </w:r>
      <w:r>
        <w:t xml:space="preserve"> </w:t>
      </w:r>
      <w:r>
        <w:t xml:space="preserve">— Fit for HER cohort · the questions the standard answer doesn’t solve</w:t>
      </w:r>
    </w:p>
    <w:p>
      <w:pPr>
        <w:pStyle w:val="FirstParagraph"/>
      </w:pPr>
      <w:r>
        <w:t xml:space="preserve">A meeting-room scene: three figures at a small round table — Anita, a GP (Hannah), and a practice nurse. Working through a laid-out workflow on paper: kit dispatch → capillary HbA1c → lab → GP EPR write-back → annual review. Sticky notes in soft amber. Papers with QOF DM006 and DCCT-aligned assay notes visible but indistinct. Warm, collegial, primary-care-scaled. Not corporate.</w:t>
      </w:r>
    </w:p>
    <w:bookmarkEnd w:id="30"/>
    <w:bookmarkStart w:id="31" w:name="X2bb552f2cfe57d9de2a4e0dd5a5f7b780150eff"/>
    <w:p>
      <w:pPr>
        <w:pStyle w:val="Heading3"/>
      </w:pPr>
      <w:r>
        <w:rPr>
          <w:rStyle w:val="VerbatimChar"/>
        </w:rPr>
        <w:t xml:space="preserve">anita-stage4.png</w:t>
      </w:r>
      <w:r>
        <w:t xml:space="preserve"> </w:t>
      </w:r>
      <w:r>
        <w:t xml:space="preserve">— Call-off · signature that carries</w:t>
      </w:r>
    </w:p>
    <w:p>
      <w:pPr>
        <w:pStyle w:val="FirstParagraph"/>
      </w:pPr>
      <w:r>
        <w:t xml:space="preserve">Close-up composition: hands signing a primary-care contract mechanism document; a second document in the periphery shows the funding-route decision (with QOF-linked and DPP-linked options); a laptop screen edge shows the framework’s Anita’s-configuration confirmation. Warm side-light. Deliberate, primary-care register — less institutional-grand than Catherine’s, more intimate.</w:t>
      </w:r>
    </w:p>
    <w:bookmarkEnd w:id="31"/>
    <w:bookmarkStart w:id="32" w:name="X9e09b4e9f2f44b7fb12702ca884d96a0f923298"/>
    <w:p>
      <w:pPr>
        <w:pStyle w:val="Heading3"/>
      </w:pPr>
      <w:r>
        <w:rPr>
          <w:rStyle w:val="VerbatimChar"/>
        </w:rPr>
        <w:t xml:space="preserve">anita-stage5.png</w:t>
      </w:r>
      <w:r>
        <w:t xml:space="preserve"> </w:t>
      </w:r>
      <w:r>
        <w:t xml:space="preserve">— Live operation · the register holding</w:t>
      </w:r>
    </w:p>
    <w:p>
      <w:pPr>
        <w:pStyle w:val="FirstParagraph"/>
      </w:pPr>
      <w:r>
        <w:t xml:space="preserve">A community-scale scene: a GP practice waiting area, half-visible. In the foreground: a practice nurse at a screen reviewing an at-risk register overview; a HbA1c result panel shows a soft trend line holding steady. In the middle distance: a patient (Devi archetype but not identifiable as her specifically) opens a kit at a domestic kitchen table. Two lives running the same pathway. Warm afternoon light. Feel: patient staying in the cycle.</w:t>
      </w:r>
    </w:p>
    <w:bookmarkEnd w:id="32"/>
    <w:bookmarkStart w:id="33" w:name="Xa3d8c00b82bfec7da4bb45feb5ab5463900a55b"/>
    <w:p>
      <w:pPr>
        <w:pStyle w:val="Heading3"/>
      </w:pPr>
      <w:r>
        <w:rPr>
          <w:rStyle w:val="VerbatimChar"/>
        </w:rPr>
        <w:t xml:space="preserve">anita-stage6.png</w:t>
      </w:r>
      <w:r>
        <w:t xml:space="preserve"> </w:t>
      </w:r>
      <w:r>
        <w:t xml:space="preserve">— The board paper · the pattern that carries</w:t>
      </w:r>
    </w:p>
    <w:p>
      <w:pPr>
        <w:pStyle w:val="FirstParagraph"/>
      </w:pPr>
      <w:r>
        <w:t xml:space="preserve">A community-scale boardroom scene: Anita presenting to a mixed panel (ICB representative, LMC lead, practice manager, public-health lead). On the wall behind: a projected slide showing at-risk register engagement rate up, DPP referral rate up, HbA1c drift rate down. Papers on the table. Composed, working-partnership atmosphere. Warm tungsten light. Distinctly primary-care/community, not acute-Trust.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devi-journey-5-acts-interlude"/>
    <w:p>
      <w:pPr>
        <w:pStyle w:val="Heading2"/>
      </w:pPr>
      <w:r>
        <w:t xml:space="preserve">4. Devi Journey — 5 acts + interlude</w:t>
      </w:r>
    </w:p>
    <w:p>
      <w:pPr>
        <w:pStyle w:val="FirstParagraph"/>
      </w:pPr>
      <w:r>
        <w:t xml:space="preserve">Devi is a patient. Style anchor: match the Layla and Sean patient journey style — domestic-warm, working-adult reality, unglamorous but dignified, family life at the edges of the frame. Warm afternoon or Saturday-morning light throughout. NHS-blue accents subtle.</w:t>
      </w:r>
    </w:p>
    <w:p>
      <w:pPr>
        <w:pStyle w:val="BodyText"/>
      </w:pPr>
      <w:r>
        <w:rPr>
          <w:bCs/>
          <w:b/>
        </w:rPr>
        <w:t xml:space="preserve">Save to:</w:t>
      </w:r>
      <w:r>
        <w:t xml:space="preserve"> </w:t>
      </w:r>
      <w:r>
        <w:rPr>
          <w:rStyle w:val="VerbatimChar"/>
        </w:rPr>
        <w:t xml:space="preserve">Assets/Devi Story/</w:t>
      </w:r>
    </w:p>
    <w:bookmarkStart w:id="35" w:name="X76758a1ca4cbcd0f82e0093b2f8eb49f49beb3b"/>
    <w:p>
      <w:pPr>
        <w:pStyle w:val="Heading3"/>
      </w:pPr>
      <w:r>
        <w:rPr>
          <w:rStyle w:val="VerbatimChar"/>
        </w:rPr>
        <w:t xml:space="preserve">devi-stage1.png</w:t>
      </w:r>
      <w:r>
        <w:t xml:space="preserve"> </w:t>
      </w:r>
      <w:r>
        <w:t xml:space="preserve">— Stratification · the cohort the clinic finds hardest to keep</w:t>
      </w:r>
    </w:p>
    <w:p>
      <w:pPr>
        <w:pStyle w:val="FirstParagraph"/>
      </w:pPr>
      <w:r>
        <w:t xml:space="preserve">An early-evening domestic scene: a British Nigerian woman in her late forties (Devi) at a kitchen table with a mug and an unopened NHS reminder letter. In the background, a child does homework at the counter; a small phone screen shows a calendar half-full with work and family commitments. Warm side-light. The letter is legible as a shape but no readable text. Feel: seeing the ask arrive and knowing you won’t get to it.</w:t>
      </w:r>
    </w:p>
    <w:bookmarkEnd w:id="35"/>
    <w:bookmarkStart w:id="36" w:name="X11cccea0521c22c6c05a9d290d0cefd05af67f1"/>
    <w:p>
      <w:pPr>
        <w:pStyle w:val="Heading3"/>
      </w:pPr>
      <w:r>
        <w:rPr>
          <w:rStyle w:val="VerbatimChar"/>
        </w:rPr>
        <w:t xml:space="preserve">devi-stage2.png</w:t>
      </w:r>
      <w:r>
        <w:t xml:space="preserve"> </w:t>
      </w:r>
      <w:r>
        <w:t xml:space="preserve">— Identification · Hannah’s practice flags her</w:t>
      </w:r>
    </w:p>
    <w:p>
      <w:pPr>
        <w:pStyle w:val="FirstParagraph"/>
      </w:pPr>
      <w:r>
        <w:t xml:space="preserve">A GP-practice consulting-room scene: Hannah (the GP already established in the model) at her screen, reviewing an at-risk register with Devi’s row highlighted amber. On the desk: a note about home HbA1c option. Warm daylight through a window. The screen shows a soft register interface, indistinct. Feel: a practice paying attention to the cohort it usually loses.</w:t>
      </w:r>
    </w:p>
    <w:bookmarkEnd w:id="36"/>
    <w:bookmarkStart w:id="37" w:name="Xedaeac5de3593ff55fcb0af027ed7395a8398d2"/>
    <w:p>
      <w:pPr>
        <w:pStyle w:val="Heading3"/>
      </w:pPr>
      <w:r>
        <w:rPr>
          <w:rStyle w:val="VerbatimChar"/>
        </w:rPr>
        <w:t xml:space="preserve">devi-stage3.png</w:t>
      </w:r>
      <w:r>
        <w:t xml:space="preserve"> </w:t>
      </w:r>
      <w:r>
        <w:t xml:space="preserve">— Testing · the HbA1c on a Saturday morning</w:t>
      </w:r>
    </w:p>
    <w:p>
      <w:pPr>
        <w:pStyle w:val="FirstParagraph"/>
      </w:pPr>
      <w:r>
        <w:t xml:space="preserve">The signature scene of the journey. A domestic kitchen table on a Saturday morning, warm early light. Devi at the table with a small home-test kit laid out — capillary lancet, sample tube, prepaid envelope. In the soft background: children watching TV in the next room, a mother’s kitchen life carrying on. Devi calm, unhurried, unbothered. Feel: the venue was the whole problem.</w:t>
      </w:r>
    </w:p>
    <w:bookmarkEnd w:id="37"/>
    <w:bookmarkStart w:id="38" w:name="devi-interlude.png-atmospheric-spacer"/>
    <w:p>
      <w:pPr>
        <w:pStyle w:val="Heading3"/>
      </w:pPr>
      <w:r>
        <w:rPr>
          <w:rStyle w:val="VerbatimChar"/>
        </w:rPr>
        <w:t xml:space="preserve">devi-interlude.png</w:t>
      </w:r>
      <w:r>
        <w:t xml:space="preserve"> </w:t>
      </w:r>
      <w:r>
        <w:t xml:space="preserve">— Atmospheric spacer</w:t>
      </w:r>
    </w:p>
    <w:p>
      <w:pPr>
        <w:pStyle w:val="FirstParagraph"/>
      </w:pPr>
      <w:r>
        <w:t xml:space="preserve">A quiet transition frame between stage 3 and stage 4. A postbox on a suburban street, evening light warming brick behind it. A single small envelope in a gloved hand at the slot. No people beyond the hand. Muted, calm, wistful. NHS-blue subtle accent on the postbox trim.</w:t>
      </w:r>
    </w:p>
    <w:bookmarkEnd w:id="38"/>
    <w:bookmarkStart w:id="39" w:name="Xdc3dbd727f77cc3c9384f1b43a6ce1cda179680"/>
    <w:p>
      <w:pPr>
        <w:pStyle w:val="Heading3"/>
      </w:pPr>
      <w:r>
        <w:rPr>
          <w:rStyle w:val="VerbatimChar"/>
        </w:rPr>
        <w:t xml:space="preserve">devi-stage4.png</w:t>
      </w:r>
      <w:r>
        <w:t xml:space="preserve"> </w:t>
      </w:r>
      <w:r>
        <w:t xml:space="preserve">— Response · the plan adjusted on the trend</w:t>
      </w:r>
    </w:p>
    <w:p>
      <w:pPr>
        <w:pStyle w:val="FirstParagraph"/>
      </w:pPr>
      <w:r>
        <w:t xml:space="preserve">A split-composition scene: on the left, a GP practice screen shows an HbA1c trend line — three annual dots holding steady in the pre-diabetes band, an amber threshold line above. On the right, Devi in a work-desk setting (she’s a care coordinator — a small home-office or community-office feel) reading a message on her phone. Warm daylight. Feel: the whole appointment happening while she works.</w:t>
      </w:r>
    </w:p>
    <w:bookmarkEnd w:id="39"/>
    <w:bookmarkStart w:id="40" w:name="X3f94a7b4b0956d1d410901b69242bff5e6ab725"/>
    <w:p>
      <w:pPr>
        <w:pStyle w:val="Heading3"/>
      </w:pPr>
      <w:r>
        <w:rPr>
          <w:rStyle w:val="VerbatimChar"/>
        </w:rPr>
        <w:t xml:space="preserve">devi-stage5.png</w:t>
      </w:r>
      <w:r>
        <w:t xml:space="preserve"> </w:t>
      </w:r>
      <w:r>
        <w:t xml:space="preserve">— Long-term optimisation · the cycle that fits her life</w:t>
      </w:r>
    </w:p>
    <w:p>
      <w:pPr>
        <w:pStyle w:val="FirstParagraph"/>
      </w:pPr>
      <w:r>
        <w:t xml:space="preserve">A closing scene: Devi and her family in warm domestic light — a Saturday-morning kitchen, kids at the table with breakfast, Devi at the counter with a mug looking at a soft phone-calendar reminder for the next HbA1c due in twelve months. Nothing dramatic. The cycle continuing. Feel: patient held in the cohort, life uninterrupted.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tyle-notes-across-all-four-sets"/>
    <w:p>
      <w:pPr>
        <w:pStyle w:val="Heading2"/>
      </w:pPr>
      <w:r>
        <w:t xml:space="preserve">Style notes across all four sets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Diversity respected without tokenism.</w:t>
      </w:r>
      <w:r>
        <w:t xml:space="preserve"> </w:t>
      </w:r>
      <w:r>
        <w:t xml:space="preserve">Faces and body language grounded in real working-adult NHS demographics.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NHS logos, no supplier logos, no branded interface chrome.</w:t>
      </w:r>
      <w:r>
        <w:t xml:space="preserve"> </w:t>
      </w:r>
      <w:r>
        <w:t xml:space="preserve">Interfaces are suggestive, not literal.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on-image text of any kind.</w:t>
      </w:r>
      <w:r>
        <w:t xml:space="preserve"> </w:t>
      </w:r>
      <w:r>
        <w:t xml:space="preserve">All narrative sits in the HTML copy.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Palette continuity with existing images:</w:t>
      </w:r>
      <w:r>
        <w:t xml:space="preserve"> </w:t>
      </w:r>
      <w:r>
        <w:t xml:space="preserve">deep NHS navy #003087 for institutional register, warm amber/gold for accent, off-white paper backgrounds, warm skin lighting, muted teal and terracotta as secondary tones. Avoid pure black and pure white.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Composition register:</w:t>
      </w:r>
      <w:r>
        <w:t xml:space="preserve"> </w:t>
      </w:r>
      <w:r>
        <w:t xml:space="preserve">editorial illustration, semi-flat with light shading; not photo-real; not corporate flat-vector.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Emotional register:</w:t>
      </w:r>
      <w:r>
        <w:t xml:space="preserve"> </w:t>
      </w:r>
      <w:r>
        <w:t xml:space="preserve">competent, calm, quietly serious. No triumphalism. No stress. This is the operating model working.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t xml:space="preserve">PNG with transparent background NOT required — solid, semi-blended backgrounds are the correct style.</w:t>
      </w:r>
    </w:p>
    <w:p>
      <w:r>
        <w:pict>
          <v:rect style="width:0;height:1.5pt" o:hralign="center" o:hrstd="t" o:hr="t"/>
        </w:pict>
      </w:r>
    </w:p>
    <w:bookmarkEnd w:id="42"/>
    <w:bookmarkStart w:id="43" w:name="naming-save-paths-recap"/>
    <w:p>
      <w:pPr>
        <w:pStyle w:val="Heading2"/>
      </w:pPr>
      <w:r>
        <w:t xml:space="preserve">Naming + save paths recap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Assets/Personas/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catherine-stage1.png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catherine-stage6.png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Assets/Catherine Story/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anita-stage1.png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anita-stage6.png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Assets/Anita Story/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devi-stage1.png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devi-stage5.png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Assets/Devi Story/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devi-interlude.png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Assets/Devi Story/</w:t>
            </w:r>
          </w:p>
        </w:tc>
      </w:tr>
    </w:tbl>
    <w:p>
      <w:pPr>
        <w:pStyle w:val="BodyText"/>
      </w:pPr>
      <w:r>
        <w:t xml:space="preserve">Once delivered, the images will render automatically in-place on both HomeTest TOM and DTx OM (the DTx port uses the same filenames under</w:t>
      </w:r>
      <w:r>
        <w:t xml:space="preserve"> </w:t>
      </w:r>
      <w:r>
        <w:rPr>
          <w:rStyle w:val="VerbatimChar"/>
        </w:rPr>
        <w:t xml:space="preserve">img/</w:t>
      </w:r>
      <w:r>
        <w:t xml:space="preserve"> </w:t>
      </w:r>
      <w:r>
        <w:t xml:space="preserve">naming convention on that side — a small sync copy will move them across).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Gemini image prompts for Catherine, Anita and Devi journeys</dc:title>
  <dc:creator>Scott Eason</dc:creator>
  <cp:keywords/>
  <dcterms:created xsi:type="dcterms:W3CDTF">2026-07-22T12:10:11Z</dcterms:created>
  <dcterms:modified xsi:type="dcterms:W3CDTF">2026-07-22T12:10:11Z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