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B7DA" w14:textId="5CFD86A7" w:rsidR="00C462A1" w:rsidRDefault="00BB392D" w:rsidP="00C462A1">
      <w:pPr>
        <w:spacing w:after="0" w:line="480" w:lineRule="auto"/>
        <w:jc w:val="center"/>
      </w:pPr>
      <w:r>
        <w:t xml:space="preserve">Healthcare BI Use Case </w:t>
      </w:r>
      <w:r w:rsidR="00F23D31">
        <w:t>–</w:t>
      </w:r>
      <w:r>
        <w:t xml:space="preserve"> </w:t>
      </w:r>
      <w:r w:rsidR="00E50C89">
        <w:t xml:space="preserve">Single Integrated </w:t>
      </w:r>
      <w:r w:rsidR="0020215D">
        <w:t>BI Solution</w:t>
      </w:r>
    </w:p>
    <w:p w14:paraId="6A430893" w14:textId="77777777" w:rsidR="00C462A1" w:rsidRPr="00173365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173365">
        <w:rPr>
          <w:rStyle w:val="fnt0"/>
          <w:rFonts w:cs="Times New Roman"/>
          <w:szCs w:val="24"/>
        </w:rPr>
        <w:t>Scott Miner</w:t>
      </w:r>
    </w:p>
    <w:p w14:paraId="28ACDC33" w14:textId="77777777" w:rsidR="005F3F88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  <w:sectPr w:rsidR="005F3F88" w:rsidSect="005F3F88">
          <w:headerReference w:type="default" r:id="rId7"/>
          <w:headerReference w:type="firs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173365">
        <w:rPr>
          <w:rStyle w:val="fnt0"/>
          <w:rFonts w:cs="Times New Roman"/>
          <w:szCs w:val="24"/>
        </w:rPr>
        <w:t>Colorado State University – Global Campus</w:t>
      </w:r>
    </w:p>
    <w:p w14:paraId="0A88607B" w14:textId="6EB3CC01" w:rsidR="00C462A1" w:rsidRDefault="00736D3A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bookmarkStart w:id="0" w:name="_GoBack"/>
      <w:r>
        <w:rPr>
          <w:rStyle w:val="fnt0"/>
          <w:rFonts w:cs="Times New Roman"/>
          <w:b/>
          <w:szCs w:val="24"/>
        </w:rPr>
        <w:lastRenderedPageBreak/>
        <w:t xml:space="preserve">Part A: </w:t>
      </w:r>
      <w:r w:rsidR="001778BC">
        <w:rPr>
          <w:rStyle w:val="fnt0"/>
          <w:rFonts w:cs="Times New Roman"/>
          <w:b/>
          <w:szCs w:val="24"/>
        </w:rPr>
        <w:t xml:space="preserve">Healthcare BI Use Case: </w:t>
      </w:r>
      <w:r w:rsidR="00F7334D">
        <w:rPr>
          <w:rStyle w:val="fnt0"/>
          <w:rFonts w:cs="Times New Roman"/>
          <w:b/>
          <w:szCs w:val="24"/>
        </w:rPr>
        <w:t>Single Integrated BI Solution</w:t>
      </w:r>
    </w:p>
    <w:p w14:paraId="559F8BD0" w14:textId="706D2FCC" w:rsidR="00F41770" w:rsidRDefault="000B1704" w:rsidP="003E5A39">
      <w:pPr>
        <w:spacing w:after="0" w:line="480" w:lineRule="auto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ab/>
      </w:r>
      <w:r w:rsidR="00CF6661">
        <w:rPr>
          <w:rStyle w:val="fnt0"/>
          <w:rFonts w:cs="Times New Roman"/>
          <w:szCs w:val="24"/>
        </w:rPr>
        <w:t xml:space="preserve">In this scenario, </w:t>
      </w:r>
      <w:r w:rsidR="00CE1CE8">
        <w:rPr>
          <w:rStyle w:val="fnt0"/>
          <w:rFonts w:cs="Times New Roman"/>
          <w:szCs w:val="24"/>
        </w:rPr>
        <w:t xml:space="preserve">there is a large healthcare company, </w:t>
      </w:r>
      <w:r w:rsidR="00E72606">
        <w:rPr>
          <w:rStyle w:val="fnt0"/>
          <w:rFonts w:cs="Times New Roman"/>
          <w:szCs w:val="24"/>
        </w:rPr>
        <w:t>with 30,000 employees</w:t>
      </w:r>
      <w:r w:rsidR="00C042D3">
        <w:rPr>
          <w:rStyle w:val="fnt0"/>
          <w:rFonts w:cs="Times New Roman"/>
          <w:szCs w:val="24"/>
        </w:rPr>
        <w:t xml:space="preserve"> and 24 mobile units operating in over 15 countries.  </w:t>
      </w:r>
      <w:r w:rsidR="00D12A14">
        <w:rPr>
          <w:rStyle w:val="fnt0"/>
          <w:rFonts w:cs="Times New Roman"/>
          <w:szCs w:val="24"/>
        </w:rPr>
        <w:t>It is my job to consolid</w:t>
      </w:r>
      <w:r w:rsidR="00AF2571">
        <w:rPr>
          <w:rStyle w:val="fnt0"/>
          <w:rFonts w:cs="Times New Roman"/>
          <w:szCs w:val="24"/>
        </w:rPr>
        <w:t xml:space="preserve">ate </w:t>
      </w:r>
      <w:r w:rsidR="00776BEC">
        <w:rPr>
          <w:rStyle w:val="fnt0"/>
          <w:rFonts w:cs="Times New Roman"/>
          <w:szCs w:val="24"/>
        </w:rPr>
        <w:t xml:space="preserve">the </w:t>
      </w:r>
      <w:r w:rsidR="007E5607">
        <w:rPr>
          <w:rStyle w:val="fnt0"/>
          <w:rFonts w:cs="Times New Roman"/>
          <w:szCs w:val="24"/>
        </w:rPr>
        <w:t>data processing eff</w:t>
      </w:r>
      <w:r w:rsidR="00B41197">
        <w:rPr>
          <w:rStyle w:val="fnt0"/>
          <w:rFonts w:cs="Times New Roman"/>
          <w:szCs w:val="24"/>
        </w:rPr>
        <w:t xml:space="preserve">ort by providing a </w:t>
      </w:r>
      <w:r w:rsidR="004F65D1">
        <w:rPr>
          <w:rStyle w:val="fnt0"/>
          <w:rFonts w:cs="Times New Roman"/>
          <w:szCs w:val="24"/>
        </w:rPr>
        <w:t>single</w:t>
      </w:r>
      <w:r w:rsidR="00651657">
        <w:rPr>
          <w:rStyle w:val="fnt0"/>
          <w:rFonts w:cs="Times New Roman"/>
          <w:szCs w:val="24"/>
        </w:rPr>
        <w:t>-</w:t>
      </w:r>
      <w:r w:rsidR="004F65D1">
        <w:rPr>
          <w:rStyle w:val="fnt0"/>
          <w:rFonts w:cs="Times New Roman"/>
          <w:szCs w:val="24"/>
        </w:rPr>
        <w:t>solution business intelligence (BI) framework</w:t>
      </w:r>
      <w:r w:rsidR="00514E3D">
        <w:rPr>
          <w:rStyle w:val="fnt0"/>
          <w:rFonts w:cs="Times New Roman"/>
          <w:szCs w:val="24"/>
        </w:rPr>
        <w:t xml:space="preserve"> </w:t>
      </w:r>
      <w:r w:rsidR="00514E3D">
        <w:t>(“Module 2: Critical Thinking,” n.d.)</w:t>
      </w:r>
      <w:r w:rsidR="004F65D1">
        <w:rPr>
          <w:rStyle w:val="fnt0"/>
          <w:rFonts w:cs="Times New Roman"/>
          <w:szCs w:val="24"/>
        </w:rPr>
        <w:t xml:space="preserve">.  </w:t>
      </w:r>
      <w:r w:rsidR="00C66241">
        <w:rPr>
          <w:rStyle w:val="fnt0"/>
          <w:rFonts w:cs="Times New Roman"/>
          <w:szCs w:val="24"/>
        </w:rPr>
        <w:t xml:space="preserve">Khanna </w:t>
      </w:r>
      <w:r w:rsidR="00DC3DE8">
        <w:rPr>
          <w:rStyle w:val="fnt0"/>
          <w:rFonts w:cs="Times New Roman"/>
          <w:szCs w:val="24"/>
        </w:rPr>
        <w:t>and Narula (2016)</w:t>
      </w:r>
      <w:r w:rsidR="00685D8C">
        <w:rPr>
          <w:rStyle w:val="fnt0"/>
          <w:rFonts w:cs="Times New Roman"/>
          <w:szCs w:val="24"/>
        </w:rPr>
        <w:t xml:space="preserve"> describe a </w:t>
      </w:r>
      <w:r w:rsidR="00E063D0">
        <w:rPr>
          <w:rStyle w:val="fnt0"/>
          <w:rFonts w:cs="Times New Roman"/>
          <w:szCs w:val="24"/>
        </w:rPr>
        <w:t xml:space="preserve">mobile </w:t>
      </w:r>
      <w:r w:rsidR="007275FE">
        <w:rPr>
          <w:rStyle w:val="fnt0"/>
          <w:rFonts w:cs="Times New Roman"/>
          <w:szCs w:val="24"/>
        </w:rPr>
        <w:t xml:space="preserve">medical unit </w:t>
      </w:r>
      <w:r w:rsidR="00887585">
        <w:rPr>
          <w:rStyle w:val="fnt0"/>
          <w:rFonts w:cs="Times New Roman"/>
          <w:szCs w:val="24"/>
        </w:rPr>
        <w:t xml:space="preserve">as </w:t>
      </w:r>
      <w:r w:rsidR="004A16CC">
        <w:rPr>
          <w:rStyle w:val="fnt0"/>
          <w:rFonts w:cs="Times New Roman"/>
          <w:szCs w:val="24"/>
        </w:rPr>
        <w:t xml:space="preserve">a </w:t>
      </w:r>
      <w:r w:rsidR="006818F1">
        <w:rPr>
          <w:rStyle w:val="fnt0"/>
          <w:rFonts w:cs="Times New Roman"/>
          <w:szCs w:val="24"/>
        </w:rPr>
        <w:t xml:space="preserve">commercial coach </w:t>
      </w:r>
      <w:r w:rsidR="00782D62">
        <w:rPr>
          <w:rStyle w:val="fnt0"/>
          <w:rFonts w:cs="Times New Roman"/>
          <w:szCs w:val="24"/>
        </w:rPr>
        <w:t xml:space="preserve">that provides medical services </w:t>
      </w:r>
      <w:r w:rsidR="001F6D33">
        <w:rPr>
          <w:rStyle w:val="fnt0"/>
          <w:rFonts w:cs="Times New Roman"/>
          <w:szCs w:val="24"/>
        </w:rPr>
        <w:t xml:space="preserve">to </w:t>
      </w:r>
      <w:r w:rsidR="008E4E76">
        <w:rPr>
          <w:rStyle w:val="fnt0"/>
          <w:rFonts w:cs="Times New Roman"/>
          <w:szCs w:val="24"/>
        </w:rPr>
        <w:t xml:space="preserve">patients </w:t>
      </w:r>
      <w:r w:rsidR="00661CAE">
        <w:rPr>
          <w:rStyle w:val="fnt0"/>
          <w:rFonts w:cs="Times New Roman"/>
          <w:szCs w:val="24"/>
        </w:rPr>
        <w:t xml:space="preserve">in </w:t>
      </w:r>
      <w:r w:rsidR="002151BD">
        <w:rPr>
          <w:rStyle w:val="fnt0"/>
          <w:rFonts w:cs="Times New Roman"/>
          <w:szCs w:val="24"/>
        </w:rPr>
        <w:t xml:space="preserve">underserved </w:t>
      </w:r>
      <w:r w:rsidR="00661CAE">
        <w:rPr>
          <w:rStyle w:val="fnt0"/>
          <w:rFonts w:cs="Times New Roman"/>
          <w:szCs w:val="24"/>
        </w:rPr>
        <w:t>areas</w:t>
      </w:r>
      <w:r w:rsidR="009579B2">
        <w:rPr>
          <w:rStyle w:val="fnt0"/>
          <w:rFonts w:cs="Times New Roman"/>
          <w:szCs w:val="24"/>
        </w:rPr>
        <w:t xml:space="preserve"> who need cost-effective treatment</w:t>
      </w:r>
      <w:r w:rsidR="00E73C04">
        <w:rPr>
          <w:rStyle w:val="fnt0"/>
          <w:rFonts w:cs="Times New Roman"/>
          <w:szCs w:val="24"/>
        </w:rPr>
        <w:t>s</w:t>
      </w:r>
      <w:r w:rsidR="000B0B41">
        <w:rPr>
          <w:rStyle w:val="fnt0"/>
          <w:rFonts w:cs="Times New Roman"/>
          <w:szCs w:val="24"/>
        </w:rPr>
        <w:t xml:space="preserve">.  </w:t>
      </w:r>
      <w:r w:rsidR="00321725">
        <w:rPr>
          <w:rStyle w:val="fnt0"/>
          <w:rFonts w:cs="Times New Roman"/>
          <w:szCs w:val="24"/>
        </w:rPr>
        <w:t>I am suggesting a single</w:t>
      </w:r>
      <w:r w:rsidR="00EF519A">
        <w:rPr>
          <w:rStyle w:val="fnt0"/>
          <w:rFonts w:cs="Times New Roman"/>
          <w:szCs w:val="24"/>
        </w:rPr>
        <w:t>-</w:t>
      </w:r>
      <w:r w:rsidR="00321725">
        <w:rPr>
          <w:rStyle w:val="fnt0"/>
          <w:rFonts w:cs="Times New Roman"/>
          <w:szCs w:val="24"/>
        </w:rPr>
        <w:t>solution</w:t>
      </w:r>
      <w:r w:rsidR="00D907D8">
        <w:rPr>
          <w:rStyle w:val="fnt0"/>
          <w:rFonts w:cs="Times New Roman"/>
          <w:szCs w:val="24"/>
        </w:rPr>
        <w:t xml:space="preserve"> BI</w:t>
      </w:r>
      <w:r w:rsidR="00321725">
        <w:rPr>
          <w:rStyle w:val="fnt0"/>
          <w:rFonts w:cs="Times New Roman"/>
          <w:szCs w:val="24"/>
        </w:rPr>
        <w:t xml:space="preserve"> framework</w:t>
      </w:r>
      <w:r w:rsidR="00100648">
        <w:rPr>
          <w:rStyle w:val="fnt0"/>
          <w:rFonts w:cs="Times New Roman"/>
          <w:szCs w:val="24"/>
        </w:rPr>
        <w:t xml:space="preserve"> that</w:t>
      </w:r>
      <w:r w:rsidR="006D1F60">
        <w:rPr>
          <w:rStyle w:val="fnt0"/>
          <w:rFonts w:cs="Times New Roman"/>
          <w:szCs w:val="24"/>
        </w:rPr>
        <w:t xml:space="preserve"> </w:t>
      </w:r>
      <w:r w:rsidR="00AA4667">
        <w:rPr>
          <w:rStyle w:val="fnt0"/>
          <w:rFonts w:cs="Times New Roman"/>
          <w:szCs w:val="24"/>
        </w:rPr>
        <w:t>makes use of the</w:t>
      </w:r>
      <w:r w:rsidR="007B344A">
        <w:rPr>
          <w:rStyle w:val="fnt0"/>
          <w:rFonts w:cs="Times New Roman"/>
          <w:szCs w:val="24"/>
        </w:rPr>
        <w:t xml:space="preserve"> time</w:t>
      </w:r>
      <w:r w:rsidR="00195EE3">
        <w:rPr>
          <w:rStyle w:val="fnt0"/>
          <w:rFonts w:cs="Times New Roman"/>
          <w:szCs w:val="24"/>
        </w:rPr>
        <w:t>-</w:t>
      </w:r>
      <w:r w:rsidR="007B344A">
        <w:rPr>
          <w:rStyle w:val="fnt0"/>
          <w:rFonts w:cs="Times New Roman"/>
          <w:szCs w:val="24"/>
        </w:rPr>
        <w:t xml:space="preserve">driven </w:t>
      </w:r>
      <w:r w:rsidR="002654F2">
        <w:rPr>
          <w:rStyle w:val="fnt0"/>
          <w:rFonts w:cs="Times New Roman"/>
          <w:szCs w:val="24"/>
        </w:rPr>
        <w:t>nature</w:t>
      </w:r>
      <w:r w:rsidR="00DD72FC">
        <w:rPr>
          <w:rStyle w:val="fnt0"/>
          <w:rFonts w:cs="Times New Roman"/>
          <w:szCs w:val="24"/>
        </w:rPr>
        <w:t xml:space="preserve"> </w:t>
      </w:r>
      <w:r w:rsidR="007E0AC7">
        <w:rPr>
          <w:rStyle w:val="fnt0"/>
          <w:rFonts w:cs="Times New Roman"/>
          <w:szCs w:val="24"/>
        </w:rPr>
        <w:t>of the Internet of Things (IoT)</w:t>
      </w:r>
      <w:r w:rsidR="002654F2">
        <w:rPr>
          <w:rStyle w:val="fnt0"/>
          <w:rFonts w:cs="Times New Roman"/>
          <w:szCs w:val="24"/>
        </w:rPr>
        <w:t xml:space="preserve">, fog </w:t>
      </w:r>
      <w:r w:rsidR="00EA6A38">
        <w:rPr>
          <w:rStyle w:val="fnt0"/>
          <w:rFonts w:cs="Times New Roman"/>
          <w:szCs w:val="24"/>
        </w:rPr>
        <w:t>computing, and cloud computing</w:t>
      </w:r>
      <w:r w:rsidR="007E0AC7">
        <w:rPr>
          <w:rStyle w:val="fnt0"/>
          <w:rFonts w:cs="Times New Roman"/>
          <w:szCs w:val="24"/>
        </w:rPr>
        <w:t>.</w:t>
      </w:r>
    </w:p>
    <w:p w14:paraId="053A4688" w14:textId="43E4E5B5" w:rsidR="00057593" w:rsidRPr="00057593" w:rsidRDefault="00057593" w:rsidP="003E5A39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 w:rsidRPr="00057593">
        <w:rPr>
          <w:rStyle w:val="fnt0"/>
          <w:rFonts w:cs="Times New Roman"/>
          <w:b/>
          <w:bCs/>
          <w:szCs w:val="24"/>
        </w:rPr>
        <w:t>Device Layer</w:t>
      </w:r>
    </w:p>
    <w:p w14:paraId="57FCAC7E" w14:textId="4523E996" w:rsidR="00895651" w:rsidRPr="001E7993" w:rsidRDefault="00CD51BC" w:rsidP="001E7993">
      <w:pPr>
        <w:spacing w:after="0" w:line="480" w:lineRule="auto"/>
        <w:ind w:firstLine="720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>In this</w:t>
      </w:r>
      <w:r w:rsidR="00EA6A38">
        <w:rPr>
          <w:rStyle w:val="fnt0"/>
          <w:rFonts w:cs="Times New Roman"/>
          <w:szCs w:val="24"/>
        </w:rPr>
        <w:t xml:space="preserve"> </w:t>
      </w:r>
      <w:r w:rsidR="00F41770">
        <w:rPr>
          <w:rStyle w:val="fnt0"/>
          <w:rFonts w:cs="Times New Roman"/>
          <w:szCs w:val="24"/>
        </w:rPr>
        <w:t>BI ecosystem</w:t>
      </w:r>
      <w:r>
        <w:rPr>
          <w:rStyle w:val="fnt0"/>
          <w:rFonts w:cs="Times New Roman"/>
          <w:szCs w:val="24"/>
        </w:rPr>
        <w:t xml:space="preserve">, </w:t>
      </w:r>
      <w:r w:rsidR="001E6C32">
        <w:rPr>
          <w:rStyle w:val="fnt0"/>
          <w:rFonts w:cs="Times New Roman"/>
          <w:szCs w:val="24"/>
        </w:rPr>
        <w:t>sensors</w:t>
      </w:r>
      <w:r w:rsidR="00FD0DE2">
        <w:rPr>
          <w:rStyle w:val="fnt0"/>
          <w:rFonts w:cs="Times New Roman"/>
          <w:szCs w:val="24"/>
        </w:rPr>
        <w:t xml:space="preserve"> in mobile medical units</w:t>
      </w:r>
      <w:r w:rsidR="001E6C32">
        <w:rPr>
          <w:rStyle w:val="fnt0"/>
          <w:rFonts w:cs="Times New Roman"/>
          <w:szCs w:val="24"/>
        </w:rPr>
        <w:t xml:space="preserve"> </w:t>
      </w:r>
      <w:r w:rsidR="00EB1E97">
        <w:rPr>
          <w:rStyle w:val="fnt0"/>
          <w:rFonts w:cs="Times New Roman"/>
          <w:szCs w:val="24"/>
        </w:rPr>
        <w:t xml:space="preserve">collect </w:t>
      </w:r>
      <w:r w:rsidR="0071451C">
        <w:rPr>
          <w:rStyle w:val="fnt0"/>
          <w:rFonts w:cs="Times New Roman"/>
          <w:szCs w:val="24"/>
        </w:rPr>
        <w:t>real-time</w:t>
      </w:r>
      <w:r w:rsidR="003F18AB">
        <w:rPr>
          <w:rStyle w:val="fnt0"/>
          <w:rFonts w:cs="Times New Roman"/>
          <w:szCs w:val="24"/>
        </w:rPr>
        <w:t xml:space="preserve"> patient</w:t>
      </w:r>
      <w:r w:rsidR="001E6C32">
        <w:rPr>
          <w:rStyle w:val="fnt0"/>
          <w:rFonts w:cs="Times New Roman"/>
          <w:szCs w:val="24"/>
        </w:rPr>
        <w:t xml:space="preserve"> </w:t>
      </w:r>
      <w:r w:rsidR="00B02782">
        <w:rPr>
          <w:rStyle w:val="fnt0"/>
          <w:rFonts w:cs="Times New Roman"/>
          <w:szCs w:val="24"/>
        </w:rPr>
        <w:t>data</w:t>
      </w:r>
      <w:r w:rsidR="001E6C32">
        <w:rPr>
          <w:rStyle w:val="fnt0"/>
          <w:rFonts w:cs="Times New Roman"/>
          <w:szCs w:val="24"/>
        </w:rPr>
        <w:t xml:space="preserve">, </w:t>
      </w:r>
      <w:r w:rsidR="00965A57">
        <w:rPr>
          <w:rStyle w:val="fnt0"/>
          <w:rFonts w:cs="Times New Roman"/>
          <w:szCs w:val="24"/>
        </w:rPr>
        <w:t>including</w:t>
      </w:r>
      <w:r w:rsidR="007F3683">
        <w:rPr>
          <w:rStyle w:val="fnt0"/>
          <w:rFonts w:cs="Times New Roman"/>
          <w:szCs w:val="24"/>
        </w:rPr>
        <w:t xml:space="preserve"> patients’ body</w:t>
      </w:r>
      <w:r w:rsidR="00D653EF">
        <w:rPr>
          <w:rStyle w:val="fnt0"/>
          <w:rFonts w:cs="Times New Roman"/>
          <w:szCs w:val="24"/>
        </w:rPr>
        <w:t xml:space="preserve"> temperature, </w:t>
      </w:r>
      <w:r w:rsidR="00835AAB">
        <w:rPr>
          <w:rStyle w:val="fnt0"/>
          <w:rFonts w:cs="Times New Roman"/>
          <w:szCs w:val="24"/>
        </w:rPr>
        <w:t xml:space="preserve">heart rate, blood pressure, </w:t>
      </w:r>
      <w:r w:rsidR="00B97453">
        <w:rPr>
          <w:rStyle w:val="fnt0"/>
          <w:rFonts w:cs="Times New Roman"/>
          <w:szCs w:val="24"/>
        </w:rPr>
        <w:t>and</w:t>
      </w:r>
      <w:r w:rsidR="00835AAB">
        <w:rPr>
          <w:rStyle w:val="fnt0"/>
          <w:rFonts w:cs="Times New Roman"/>
          <w:szCs w:val="24"/>
        </w:rPr>
        <w:t xml:space="preserve"> glucose levels.  </w:t>
      </w:r>
      <w:r w:rsidR="00474152">
        <w:rPr>
          <w:rStyle w:val="fnt0"/>
          <w:rFonts w:cs="Times New Roman"/>
          <w:szCs w:val="24"/>
        </w:rPr>
        <w:t>Medical equipment</w:t>
      </w:r>
      <w:r w:rsidR="00C10CF6">
        <w:rPr>
          <w:rStyle w:val="fnt0"/>
          <w:rFonts w:cs="Times New Roman"/>
          <w:szCs w:val="24"/>
        </w:rPr>
        <w:t xml:space="preserve"> provide</w:t>
      </w:r>
      <w:r w:rsidR="00474152">
        <w:rPr>
          <w:rStyle w:val="fnt0"/>
          <w:rFonts w:cs="Times New Roman"/>
          <w:szCs w:val="24"/>
        </w:rPr>
        <w:t>s</w:t>
      </w:r>
      <w:r w:rsidR="00C10CF6">
        <w:rPr>
          <w:rStyle w:val="fnt0"/>
          <w:rFonts w:cs="Times New Roman"/>
          <w:szCs w:val="24"/>
        </w:rPr>
        <w:t xml:space="preserve"> data in the form of </w:t>
      </w:r>
      <w:r w:rsidR="00484F59">
        <w:rPr>
          <w:rStyle w:val="fnt0"/>
          <w:rFonts w:cs="Times New Roman"/>
          <w:szCs w:val="24"/>
        </w:rPr>
        <w:t>high</w:t>
      </w:r>
      <w:r w:rsidR="00DE1938">
        <w:rPr>
          <w:rStyle w:val="fnt0"/>
          <w:rFonts w:cs="Times New Roman"/>
          <w:szCs w:val="24"/>
        </w:rPr>
        <w:t>-</w:t>
      </w:r>
      <w:r w:rsidR="00484F59">
        <w:rPr>
          <w:rStyle w:val="fnt0"/>
          <w:rFonts w:cs="Times New Roman"/>
          <w:szCs w:val="24"/>
        </w:rPr>
        <w:t>resolution images</w:t>
      </w:r>
      <w:r w:rsidR="00877F0D">
        <w:rPr>
          <w:rStyle w:val="fnt0"/>
          <w:rFonts w:cs="Times New Roman"/>
          <w:szCs w:val="24"/>
        </w:rPr>
        <w:t xml:space="preserve"> </w:t>
      </w:r>
      <w:r w:rsidR="00877F0D" w:rsidRPr="00877F0D">
        <w:rPr>
          <w:rStyle w:val="fnt0"/>
          <w:rFonts w:cs="Times New Roman"/>
          <w:szCs w:val="24"/>
        </w:rPr>
        <w:t>(</w:t>
      </w:r>
      <w:proofErr w:type="spellStart"/>
      <w:r w:rsidR="00877F0D" w:rsidRPr="00877F0D">
        <w:rPr>
          <w:rStyle w:val="fnt0"/>
          <w:rFonts w:cs="Times New Roman"/>
          <w:szCs w:val="24"/>
        </w:rPr>
        <w:t>Rahmani</w:t>
      </w:r>
      <w:proofErr w:type="spellEnd"/>
      <w:r w:rsidR="00877F0D" w:rsidRPr="00877F0D">
        <w:rPr>
          <w:rStyle w:val="fnt0"/>
          <w:rFonts w:cs="Times New Roman"/>
          <w:szCs w:val="24"/>
        </w:rPr>
        <w:t xml:space="preserve"> et al., 2018)</w:t>
      </w:r>
      <w:r w:rsidR="00877F0D">
        <w:rPr>
          <w:rStyle w:val="fnt0"/>
          <w:rFonts w:cs="Times New Roman"/>
          <w:szCs w:val="24"/>
        </w:rPr>
        <w:t>.  Once collected,</w:t>
      </w:r>
      <w:r w:rsidR="00653790">
        <w:rPr>
          <w:rStyle w:val="fnt0"/>
          <w:rFonts w:cs="Times New Roman"/>
          <w:szCs w:val="24"/>
        </w:rPr>
        <w:t xml:space="preserve"> we transfer data </w:t>
      </w:r>
      <w:r w:rsidR="00321401">
        <w:rPr>
          <w:rStyle w:val="fnt0"/>
          <w:rFonts w:cs="Times New Roman"/>
          <w:szCs w:val="24"/>
        </w:rPr>
        <w:t xml:space="preserve">from </w:t>
      </w:r>
      <w:r w:rsidR="00986499">
        <w:rPr>
          <w:rStyle w:val="fnt0"/>
          <w:rFonts w:cs="Times New Roman"/>
          <w:szCs w:val="24"/>
        </w:rPr>
        <w:t xml:space="preserve">sensors in the </w:t>
      </w:r>
      <w:r w:rsidR="00321401">
        <w:rPr>
          <w:rStyle w:val="fnt0"/>
          <w:rFonts w:cs="Times New Roman"/>
          <w:szCs w:val="24"/>
        </w:rPr>
        <w:t>Wireless Local Area Network (WLAN)</w:t>
      </w:r>
      <w:r w:rsidR="00407CBA">
        <w:rPr>
          <w:rStyle w:val="fnt0"/>
          <w:rFonts w:cs="Times New Roman"/>
          <w:szCs w:val="24"/>
        </w:rPr>
        <w:t xml:space="preserve"> to a hosting layer comprised of smart devices (e.g., smartphones, tablets, and laptops)</w:t>
      </w:r>
      <w:r w:rsidR="00C94CD6">
        <w:rPr>
          <w:rStyle w:val="fnt0"/>
          <w:rFonts w:cs="Times New Roman"/>
          <w:szCs w:val="24"/>
        </w:rPr>
        <w:t xml:space="preserve"> </w:t>
      </w:r>
      <w:r w:rsidR="008800DA">
        <w:rPr>
          <w:rStyle w:val="fnt0"/>
          <w:rFonts w:cs="Times New Roman"/>
          <w:szCs w:val="24"/>
        </w:rPr>
        <w:t xml:space="preserve">via </w:t>
      </w:r>
      <w:r w:rsidR="008B1A67">
        <w:rPr>
          <w:rStyle w:val="fnt0"/>
          <w:rFonts w:cs="Times New Roman"/>
          <w:szCs w:val="24"/>
        </w:rPr>
        <w:t xml:space="preserve">wired or wireless </w:t>
      </w:r>
      <w:r w:rsidR="00187E83">
        <w:rPr>
          <w:rStyle w:val="fnt0"/>
          <w:rFonts w:cs="Times New Roman"/>
          <w:szCs w:val="24"/>
        </w:rPr>
        <w:t>protocols</w:t>
      </w:r>
      <w:r w:rsidR="00944640">
        <w:rPr>
          <w:rStyle w:val="fnt0"/>
          <w:rFonts w:cs="Times New Roman"/>
          <w:szCs w:val="24"/>
        </w:rPr>
        <w:t xml:space="preserve"> (e.g., </w:t>
      </w:r>
      <w:r w:rsidR="00187E83">
        <w:rPr>
          <w:rStyle w:val="fnt0"/>
          <w:rFonts w:cs="Times New Roman"/>
          <w:szCs w:val="24"/>
        </w:rPr>
        <w:t xml:space="preserve">Bluetooth, </w:t>
      </w:r>
      <w:proofErr w:type="spellStart"/>
      <w:r w:rsidR="00187E83">
        <w:rPr>
          <w:rStyle w:val="fnt0"/>
          <w:rFonts w:cs="Times New Roman"/>
          <w:szCs w:val="24"/>
        </w:rPr>
        <w:t>WiFi</w:t>
      </w:r>
      <w:proofErr w:type="spellEnd"/>
      <w:r w:rsidR="00187E83">
        <w:rPr>
          <w:rStyle w:val="fnt0"/>
          <w:rFonts w:cs="Times New Roman"/>
          <w:szCs w:val="24"/>
        </w:rPr>
        <w:t>,</w:t>
      </w:r>
      <w:r w:rsidR="00F9336D">
        <w:rPr>
          <w:rStyle w:val="fnt0"/>
          <w:rFonts w:cs="Times New Roman"/>
          <w:szCs w:val="24"/>
        </w:rPr>
        <w:t xml:space="preserve"> </w:t>
      </w:r>
      <w:r w:rsidR="00944640">
        <w:rPr>
          <w:rStyle w:val="fnt0"/>
          <w:rFonts w:cs="Times New Roman"/>
          <w:szCs w:val="24"/>
        </w:rPr>
        <w:t xml:space="preserve">or </w:t>
      </w:r>
      <w:r w:rsidR="00F9336D">
        <w:rPr>
          <w:rStyle w:val="fnt0"/>
          <w:rFonts w:cs="Times New Roman"/>
          <w:szCs w:val="24"/>
        </w:rPr>
        <w:t>6LoWPAN</w:t>
      </w:r>
      <w:r w:rsidR="00944640">
        <w:rPr>
          <w:rStyle w:val="fnt0"/>
          <w:rFonts w:cs="Times New Roman"/>
          <w:szCs w:val="24"/>
        </w:rPr>
        <w:t xml:space="preserve">) </w:t>
      </w:r>
      <w:r w:rsidR="00116EA7">
        <w:t>(</w:t>
      </w:r>
      <w:proofErr w:type="spellStart"/>
      <w:r w:rsidR="00116EA7">
        <w:t>Hindia</w:t>
      </w:r>
      <w:proofErr w:type="spellEnd"/>
      <w:r w:rsidR="00116EA7">
        <w:t>, Rahman, Ojukwu, Hanafi, &amp; Fattouh, 2016)</w:t>
      </w:r>
      <w:r w:rsidR="00116EA7">
        <w:rPr>
          <w:rStyle w:val="fnt0"/>
          <w:rFonts w:cs="Times New Roman"/>
          <w:szCs w:val="24"/>
        </w:rPr>
        <w:t>.</w:t>
      </w:r>
      <w:r w:rsidR="00A87C5D">
        <w:rPr>
          <w:rStyle w:val="fnt0"/>
          <w:rFonts w:cs="Times New Roman"/>
          <w:szCs w:val="24"/>
        </w:rPr>
        <w:t xml:space="preserve"> </w:t>
      </w:r>
      <w:r w:rsidR="00C93FC6">
        <w:rPr>
          <w:rStyle w:val="fnt0"/>
          <w:rFonts w:cs="Times New Roman"/>
          <w:szCs w:val="24"/>
        </w:rPr>
        <w:t xml:space="preserve"> </w:t>
      </w:r>
      <w:r w:rsidR="006470D7">
        <w:rPr>
          <w:rStyle w:val="fnt0"/>
          <w:rFonts w:cs="Times New Roman"/>
          <w:szCs w:val="24"/>
        </w:rPr>
        <w:t>Bluetooth-enabled sensors should operate in non-discoverable mode and encrypt the payload using standard encryption algorithms such as AES</w:t>
      </w:r>
      <w:r w:rsidR="00880F61">
        <w:rPr>
          <w:rStyle w:val="fnt0"/>
          <w:rFonts w:cs="Times New Roman"/>
          <w:szCs w:val="24"/>
        </w:rPr>
        <w:t xml:space="preserve"> to provide </w:t>
      </w:r>
      <w:r w:rsidR="008F39E2">
        <w:rPr>
          <w:rStyle w:val="fnt0"/>
          <w:rFonts w:cs="Times New Roman"/>
          <w:szCs w:val="24"/>
        </w:rPr>
        <w:t xml:space="preserve">enhanced security </w:t>
      </w:r>
      <w:r w:rsidR="006470D7" w:rsidRPr="002202D7">
        <w:rPr>
          <w:rStyle w:val="fnt0"/>
          <w:rFonts w:cs="Times New Roman"/>
          <w:szCs w:val="24"/>
        </w:rPr>
        <w:t xml:space="preserve">(Mare &amp; </w:t>
      </w:r>
      <w:proofErr w:type="spellStart"/>
      <w:r w:rsidR="006470D7" w:rsidRPr="002202D7">
        <w:rPr>
          <w:rStyle w:val="fnt0"/>
          <w:rFonts w:cs="Times New Roman"/>
          <w:szCs w:val="24"/>
        </w:rPr>
        <w:t>Kotz</w:t>
      </w:r>
      <w:proofErr w:type="spellEnd"/>
      <w:r w:rsidR="006470D7" w:rsidRPr="002202D7">
        <w:rPr>
          <w:rStyle w:val="fnt0"/>
          <w:rFonts w:cs="Times New Roman"/>
          <w:szCs w:val="24"/>
        </w:rPr>
        <w:t>, 2010)</w:t>
      </w:r>
      <w:r w:rsidR="006470D7">
        <w:rPr>
          <w:rStyle w:val="fnt0"/>
          <w:rFonts w:cs="Times New Roman"/>
          <w:szCs w:val="24"/>
        </w:rPr>
        <w:t>.</w:t>
      </w:r>
      <w:r w:rsidR="007011AD">
        <w:rPr>
          <w:rStyle w:val="fnt0"/>
          <w:rFonts w:cs="Times New Roman"/>
          <w:szCs w:val="24"/>
        </w:rPr>
        <w:t xml:space="preserve">  </w:t>
      </w:r>
      <w:r w:rsidR="00456BC8">
        <w:rPr>
          <w:rStyle w:val="fnt0"/>
          <w:rFonts w:cs="Times New Roman"/>
          <w:szCs w:val="24"/>
        </w:rPr>
        <w:t>Once the aggregated data has arrived in the hosting layer</w:t>
      </w:r>
      <w:r w:rsidR="003B3BBC">
        <w:rPr>
          <w:rStyle w:val="fnt0"/>
          <w:rFonts w:cs="Times New Roman"/>
          <w:szCs w:val="24"/>
        </w:rPr>
        <w:t xml:space="preserve">, </w:t>
      </w:r>
      <w:r w:rsidR="00A64E7E">
        <w:rPr>
          <w:rStyle w:val="fnt0"/>
          <w:rFonts w:cs="Times New Roman"/>
          <w:szCs w:val="24"/>
        </w:rPr>
        <w:t>we transmit the data from</w:t>
      </w:r>
      <w:r w:rsidR="00B054A1">
        <w:rPr>
          <w:rStyle w:val="fnt0"/>
          <w:rFonts w:cs="Times New Roman"/>
          <w:szCs w:val="24"/>
        </w:rPr>
        <w:t xml:space="preserve"> </w:t>
      </w:r>
      <w:r w:rsidR="0047704D">
        <w:rPr>
          <w:rStyle w:val="fnt0"/>
          <w:rFonts w:cs="Times New Roman"/>
          <w:szCs w:val="24"/>
        </w:rPr>
        <w:t xml:space="preserve">smart </w:t>
      </w:r>
      <w:r w:rsidR="006425AB">
        <w:rPr>
          <w:rStyle w:val="fnt0"/>
          <w:rFonts w:cs="Times New Roman"/>
          <w:szCs w:val="24"/>
        </w:rPr>
        <w:t>devices</w:t>
      </w:r>
      <w:r w:rsidR="00B054A1">
        <w:rPr>
          <w:rStyle w:val="fnt0"/>
          <w:rFonts w:cs="Times New Roman"/>
          <w:szCs w:val="24"/>
        </w:rPr>
        <w:t xml:space="preserve"> </w:t>
      </w:r>
      <w:r w:rsidR="00363432">
        <w:rPr>
          <w:rStyle w:val="fnt0"/>
          <w:rFonts w:cs="Times New Roman"/>
          <w:szCs w:val="24"/>
        </w:rPr>
        <w:t xml:space="preserve">to </w:t>
      </w:r>
      <w:r w:rsidR="006F1CE4">
        <w:rPr>
          <w:rStyle w:val="fnt0"/>
          <w:rFonts w:cs="Times New Roman"/>
          <w:szCs w:val="24"/>
        </w:rPr>
        <w:t xml:space="preserve">local </w:t>
      </w:r>
      <w:r w:rsidR="0047704D">
        <w:rPr>
          <w:rStyle w:val="fnt0"/>
          <w:rFonts w:cs="Times New Roman"/>
          <w:szCs w:val="24"/>
        </w:rPr>
        <w:t>hospital</w:t>
      </w:r>
      <w:r w:rsidR="006425AB">
        <w:rPr>
          <w:rStyle w:val="fnt0"/>
          <w:rFonts w:cs="Times New Roman"/>
          <w:szCs w:val="24"/>
        </w:rPr>
        <w:t>s via</w:t>
      </w:r>
      <w:r w:rsidR="00CC0B35">
        <w:rPr>
          <w:rStyle w:val="fnt0"/>
          <w:rFonts w:cs="Times New Roman"/>
          <w:szCs w:val="24"/>
        </w:rPr>
        <w:t xml:space="preserve"> the</w:t>
      </w:r>
      <w:r w:rsidR="005E2AF1">
        <w:rPr>
          <w:rStyle w:val="fnt0"/>
          <w:rFonts w:cs="Times New Roman"/>
          <w:szCs w:val="24"/>
        </w:rPr>
        <w:t xml:space="preserve"> </w:t>
      </w:r>
      <w:r w:rsidR="00CC0B35">
        <w:rPr>
          <w:rStyle w:val="fnt0"/>
          <w:rFonts w:cs="Times New Roman"/>
          <w:szCs w:val="24"/>
        </w:rPr>
        <w:t>W</w:t>
      </w:r>
      <w:r w:rsidR="005E2AF1">
        <w:rPr>
          <w:rStyle w:val="fnt0"/>
          <w:rFonts w:cs="Times New Roman"/>
          <w:szCs w:val="24"/>
        </w:rPr>
        <w:t xml:space="preserve">ide </w:t>
      </w:r>
      <w:r w:rsidR="00CC0B35">
        <w:rPr>
          <w:rStyle w:val="fnt0"/>
          <w:rFonts w:cs="Times New Roman"/>
          <w:szCs w:val="24"/>
        </w:rPr>
        <w:t>A</w:t>
      </w:r>
      <w:r w:rsidR="005E2AF1">
        <w:rPr>
          <w:rStyle w:val="fnt0"/>
          <w:rFonts w:cs="Times New Roman"/>
          <w:szCs w:val="24"/>
        </w:rPr>
        <w:t xml:space="preserve">rea </w:t>
      </w:r>
      <w:r w:rsidR="00CC0B35">
        <w:rPr>
          <w:rStyle w:val="fnt0"/>
          <w:rFonts w:cs="Times New Roman"/>
          <w:szCs w:val="24"/>
        </w:rPr>
        <w:t>N</w:t>
      </w:r>
      <w:r w:rsidR="005E2AF1">
        <w:rPr>
          <w:rStyle w:val="fnt0"/>
          <w:rFonts w:cs="Times New Roman"/>
          <w:szCs w:val="24"/>
        </w:rPr>
        <w:t xml:space="preserve">etwork (WAN).  </w:t>
      </w:r>
      <w:r w:rsidR="00962DA1">
        <w:rPr>
          <w:rStyle w:val="fnt0"/>
          <w:rFonts w:cs="Times New Roman"/>
          <w:szCs w:val="24"/>
        </w:rPr>
        <w:t>The standard</w:t>
      </w:r>
      <w:r w:rsidR="006B34CC">
        <w:rPr>
          <w:rStyle w:val="fnt0"/>
          <w:rFonts w:cs="Times New Roman"/>
          <w:szCs w:val="24"/>
        </w:rPr>
        <w:t>s</w:t>
      </w:r>
      <w:r w:rsidR="00962DA1">
        <w:rPr>
          <w:rStyle w:val="fnt0"/>
          <w:rFonts w:cs="Times New Roman"/>
          <w:szCs w:val="24"/>
        </w:rPr>
        <w:t xml:space="preserve"> for </w:t>
      </w:r>
      <w:r w:rsidR="005F65C8">
        <w:rPr>
          <w:rStyle w:val="fnt0"/>
          <w:rFonts w:cs="Times New Roman"/>
          <w:szCs w:val="24"/>
        </w:rPr>
        <w:t xml:space="preserve">wireless </w:t>
      </w:r>
      <w:r w:rsidR="00962DA1">
        <w:rPr>
          <w:rStyle w:val="fnt0"/>
          <w:rFonts w:cs="Times New Roman"/>
          <w:szCs w:val="24"/>
        </w:rPr>
        <w:t>communication over the WAN</w:t>
      </w:r>
      <w:r w:rsidR="008754BB">
        <w:rPr>
          <w:rStyle w:val="fnt0"/>
          <w:rFonts w:cs="Times New Roman"/>
          <w:szCs w:val="24"/>
        </w:rPr>
        <w:t xml:space="preserve"> </w:t>
      </w:r>
      <w:r w:rsidR="00FE2913">
        <w:rPr>
          <w:rStyle w:val="fnt0"/>
          <w:rFonts w:cs="Times New Roman"/>
          <w:szCs w:val="24"/>
        </w:rPr>
        <w:t xml:space="preserve">are </w:t>
      </w:r>
      <w:r w:rsidR="00D64AB2">
        <w:rPr>
          <w:rStyle w:val="fnt0"/>
          <w:rFonts w:cs="Times New Roman"/>
          <w:szCs w:val="24"/>
        </w:rPr>
        <w:t xml:space="preserve">3G and </w:t>
      </w:r>
      <w:r w:rsidR="00100B76">
        <w:rPr>
          <w:rStyle w:val="fnt0"/>
          <w:rFonts w:cs="Times New Roman"/>
          <w:szCs w:val="24"/>
        </w:rPr>
        <w:t>Long Term Evolution (LTE)</w:t>
      </w:r>
      <w:r w:rsidR="00FE2913">
        <w:rPr>
          <w:rStyle w:val="fnt0"/>
          <w:rFonts w:cs="Times New Roman"/>
          <w:szCs w:val="24"/>
        </w:rPr>
        <w:t>, both of which are available everywhere, including third-world countries</w:t>
      </w:r>
      <w:r w:rsidR="0056572F">
        <w:rPr>
          <w:rStyle w:val="fnt0"/>
          <w:rFonts w:cs="Times New Roman"/>
          <w:szCs w:val="24"/>
        </w:rPr>
        <w:t xml:space="preserve"> </w:t>
      </w:r>
      <w:r w:rsidR="00565479">
        <w:rPr>
          <w:rStyle w:val="fnt0"/>
          <w:rFonts w:cs="Times New Roman"/>
          <w:szCs w:val="24"/>
        </w:rPr>
        <w:t>(Talari et al., 2017).</w:t>
      </w:r>
      <w:r w:rsidR="00100B76">
        <w:rPr>
          <w:rStyle w:val="fnt0"/>
          <w:rFonts w:cs="Times New Roman"/>
          <w:szCs w:val="24"/>
        </w:rPr>
        <w:t xml:space="preserve"> </w:t>
      </w:r>
      <w:r w:rsidR="00CF6AF8">
        <w:rPr>
          <w:rStyle w:val="fnt0"/>
          <w:rFonts w:cs="Times New Roman"/>
          <w:szCs w:val="24"/>
        </w:rPr>
        <w:t xml:space="preserve"> </w:t>
      </w:r>
    </w:p>
    <w:p w14:paraId="00859068" w14:textId="28080D8D" w:rsidR="00EB7EC3" w:rsidRDefault="007011AD" w:rsidP="00EB7EC3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 w:rsidRPr="007011AD">
        <w:rPr>
          <w:rStyle w:val="fnt0"/>
          <w:rFonts w:cs="Times New Roman"/>
          <w:b/>
          <w:bCs/>
          <w:szCs w:val="24"/>
        </w:rPr>
        <w:t>Fog Layer</w:t>
      </w:r>
    </w:p>
    <w:p w14:paraId="4BAAD502" w14:textId="507F9DB1" w:rsidR="00BC500D" w:rsidRDefault="006A1894" w:rsidP="0093749A">
      <w:pPr>
        <w:spacing w:after="0" w:line="480" w:lineRule="auto"/>
        <w:ind w:firstLine="720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lastRenderedPageBreak/>
        <w:t xml:space="preserve">At local </w:t>
      </w:r>
      <w:r w:rsidR="00482B7F">
        <w:rPr>
          <w:rStyle w:val="fnt0"/>
          <w:rFonts w:cs="Times New Roman"/>
          <w:szCs w:val="24"/>
        </w:rPr>
        <w:t>hospital</w:t>
      </w:r>
      <w:r w:rsidR="005B7078">
        <w:rPr>
          <w:rStyle w:val="fnt0"/>
          <w:rFonts w:cs="Times New Roman"/>
          <w:szCs w:val="24"/>
        </w:rPr>
        <w:t>s</w:t>
      </w:r>
      <w:r>
        <w:rPr>
          <w:rStyle w:val="fnt0"/>
          <w:rFonts w:cs="Times New Roman"/>
          <w:szCs w:val="24"/>
        </w:rPr>
        <w:t xml:space="preserve">, </w:t>
      </w:r>
      <w:r w:rsidR="00FE3836">
        <w:rPr>
          <w:rStyle w:val="fnt0"/>
          <w:rFonts w:cs="Times New Roman"/>
          <w:szCs w:val="24"/>
        </w:rPr>
        <w:t xml:space="preserve">the data now </w:t>
      </w:r>
      <w:r w:rsidR="005B7078">
        <w:rPr>
          <w:rStyle w:val="fnt0"/>
          <w:rFonts w:cs="Times New Roman"/>
          <w:szCs w:val="24"/>
        </w:rPr>
        <w:t>resides</w:t>
      </w:r>
      <w:r w:rsidR="00FE3836">
        <w:rPr>
          <w:rStyle w:val="fnt0"/>
          <w:rFonts w:cs="Times New Roman"/>
          <w:szCs w:val="24"/>
        </w:rPr>
        <w:t xml:space="preserve"> in what </w:t>
      </w:r>
      <w:r w:rsidR="009B6EF6">
        <w:rPr>
          <w:rStyle w:val="fnt0"/>
          <w:rFonts w:cs="Times New Roman"/>
          <w:szCs w:val="24"/>
        </w:rPr>
        <w:t xml:space="preserve">we term </w:t>
      </w:r>
      <w:r w:rsidR="00FE3836">
        <w:rPr>
          <w:rStyle w:val="fnt0"/>
          <w:rFonts w:cs="Times New Roman"/>
          <w:szCs w:val="24"/>
        </w:rPr>
        <w:t xml:space="preserve">the </w:t>
      </w:r>
      <w:r w:rsidR="00067C82">
        <w:rPr>
          <w:rStyle w:val="fnt0"/>
          <w:rFonts w:cs="Times New Roman"/>
          <w:szCs w:val="24"/>
        </w:rPr>
        <w:t xml:space="preserve">fog or edge layer.  </w:t>
      </w:r>
      <w:r w:rsidR="008065FE">
        <w:rPr>
          <w:rStyle w:val="fnt0"/>
          <w:rFonts w:cs="Times New Roman"/>
          <w:szCs w:val="24"/>
        </w:rPr>
        <w:t xml:space="preserve">This layer enables the ecosystem </w:t>
      </w:r>
      <w:r w:rsidR="00C46D26">
        <w:rPr>
          <w:rStyle w:val="fnt0"/>
          <w:rFonts w:cs="Times New Roman"/>
          <w:szCs w:val="24"/>
        </w:rPr>
        <w:t xml:space="preserve">to support </w:t>
      </w:r>
      <w:r w:rsidR="001A073F">
        <w:rPr>
          <w:rStyle w:val="fnt0"/>
          <w:rFonts w:cs="Times New Roman"/>
          <w:szCs w:val="24"/>
        </w:rPr>
        <w:t>load balancing, scalability,</w:t>
      </w:r>
      <w:r w:rsidR="008C622F">
        <w:rPr>
          <w:rStyle w:val="fnt0"/>
          <w:rFonts w:cs="Times New Roman"/>
          <w:szCs w:val="24"/>
        </w:rPr>
        <w:t xml:space="preserve"> mobility, </w:t>
      </w:r>
      <w:r w:rsidR="00477C55">
        <w:rPr>
          <w:rStyle w:val="fnt0"/>
          <w:rFonts w:cs="Times New Roman"/>
          <w:szCs w:val="24"/>
        </w:rPr>
        <w:t>and low-latency response</w:t>
      </w:r>
      <w:r w:rsidR="00473E2F">
        <w:rPr>
          <w:rStyle w:val="fnt0"/>
          <w:rFonts w:cs="Times New Roman"/>
          <w:szCs w:val="24"/>
        </w:rPr>
        <w:t xml:space="preserve">s.  </w:t>
      </w:r>
      <w:proofErr w:type="spellStart"/>
      <w:r w:rsidR="00A30674">
        <w:rPr>
          <w:rStyle w:val="fnt0"/>
          <w:rFonts w:cs="Times New Roman"/>
          <w:szCs w:val="24"/>
        </w:rPr>
        <w:t>Rahmani</w:t>
      </w:r>
      <w:proofErr w:type="spellEnd"/>
      <w:r w:rsidR="00A30674">
        <w:rPr>
          <w:rStyle w:val="fnt0"/>
          <w:rFonts w:cs="Times New Roman"/>
          <w:szCs w:val="24"/>
        </w:rPr>
        <w:t xml:space="preserve"> et al.</w:t>
      </w:r>
      <w:r w:rsidR="00BE57C4">
        <w:rPr>
          <w:rStyle w:val="fnt0"/>
          <w:rFonts w:cs="Times New Roman"/>
          <w:szCs w:val="24"/>
        </w:rPr>
        <w:t xml:space="preserve"> (201</w:t>
      </w:r>
      <w:r w:rsidR="0082719E">
        <w:rPr>
          <w:rStyle w:val="fnt0"/>
          <w:rFonts w:cs="Times New Roman"/>
          <w:szCs w:val="24"/>
        </w:rPr>
        <w:t>8</w:t>
      </w:r>
      <w:r w:rsidR="00BE57C4">
        <w:rPr>
          <w:rStyle w:val="fnt0"/>
          <w:rFonts w:cs="Times New Roman"/>
          <w:szCs w:val="24"/>
        </w:rPr>
        <w:t>), describes the fog layer as</w:t>
      </w:r>
      <w:r w:rsidR="00ED4BC5">
        <w:rPr>
          <w:rStyle w:val="fnt0"/>
          <w:rFonts w:cs="Times New Roman"/>
          <w:szCs w:val="24"/>
        </w:rPr>
        <w:t xml:space="preserve"> built from a network of </w:t>
      </w:r>
      <w:r w:rsidR="0048171E">
        <w:rPr>
          <w:rStyle w:val="fnt0"/>
          <w:rFonts w:cs="Times New Roman"/>
          <w:szCs w:val="24"/>
        </w:rPr>
        <w:t xml:space="preserve">smart e-Health </w:t>
      </w:r>
      <w:r w:rsidR="00183DF3">
        <w:rPr>
          <w:rStyle w:val="fnt0"/>
          <w:rFonts w:cs="Times New Roman"/>
          <w:szCs w:val="24"/>
        </w:rPr>
        <w:t xml:space="preserve">gateways.  </w:t>
      </w:r>
      <w:r w:rsidR="008D2F44">
        <w:rPr>
          <w:rStyle w:val="fnt0"/>
          <w:rFonts w:cs="Times New Roman"/>
          <w:szCs w:val="24"/>
        </w:rPr>
        <w:t xml:space="preserve">The fog layer </w:t>
      </w:r>
      <w:r w:rsidR="00597E27">
        <w:rPr>
          <w:rStyle w:val="fnt0"/>
          <w:rFonts w:cs="Times New Roman"/>
          <w:szCs w:val="24"/>
        </w:rPr>
        <w:t>performs protocol conversions</w:t>
      </w:r>
      <w:r w:rsidR="002B3D99">
        <w:rPr>
          <w:rStyle w:val="fnt0"/>
          <w:rFonts w:cs="Times New Roman"/>
          <w:szCs w:val="24"/>
        </w:rPr>
        <w:t xml:space="preserve">, data aggregations, </w:t>
      </w:r>
      <w:r w:rsidR="00F57B78">
        <w:rPr>
          <w:rStyle w:val="fnt0"/>
          <w:rFonts w:cs="Times New Roman"/>
          <w:szCs w:val="24"/>
        </w:rPr>
        <w:t xml:space="preserve">filtering, </w:t>
      </w:r>
      <w:r w:rsidR="00CA3B76">
        <w:rPr>
          <w:rStyle w:val="fnt0"/>
          <w:rFonts w:cs="Times New Roman"/>
          <w:szCs w:val="24"/>
        </w:rPr>
        <w:t xml:space="preserve">and dimensionality reductions.  </w:t>
      </w:r>
      <w:r w:rsidR="004878BE">
        <w:rPr>
          <w:rStyle w:val="fnt0"/>
          <w:rFonts w:cs="Times New Roman"/>
          <w:szCs w:val="24"/>
        </w:rPr>
        <w:t>Th</w:t>
      </w:r>
      <w:r w:rsidR="00B7489D">
        <w:rPr>
          <w:rStyle w:val="fnt0"/>
          <w:rFonts w:cs="Times New Roman"/>
          <w:szCs w:val="24"/>
        </w:rPr>
        <w:t xml:space="preserve">is layer provides robust </w:t>
      </w:r>
      <w:r w:rsidR="006720E9">
        <w:rPr>
          <w:rStyle w:val="fnt0"/>
          <w:rFonts w:cs="Times New Roman"/>
          <w:szCs w:val="24"/>
        </w:rPr>
        <w:t xml:space="preserve">and complex </w:t>
      </w:r>
      <w:r w:rsidR="00DF3197">
        <w:rPr>
          <w:rStyle w:val="fnt0"/>
          <w:rFonts w:cs="Times New Roman"/>
          <w:szCs w:val="24"/>
        </w:rPr>
        <w:t>noise filtering</w:t>
      </w:r>
      <w:r w:rsidR="005922BB">
        <w:rPr>
          <w:rStyle w:val="fnt0"/>
          <w:rFonts w:cs="Times New Roman"/>
          <w:szCs w:val="24"/>
        </w:rPr>
        <w:t xml:space="preserve"> capabilities</w:t>
      </w:r>
      <w:r w:rsidR="00DF3197">
        <w:rPr>
          <w:rStyle w:val="fnt0"/>
          <w:rFonts w:cs="Times New Roman"/>
          <w:szCs w:val="24"/>
        </w:rPr>
        <w:t xml:space="preserve">.  </w:t>
      </w:r>
      <w:r w:rsidR="009E3FBA">
        <w:rPr>
          <w:rStyle w:val="fnt0"/>
          <w:rFonts w:cs="Times New Roman"/>
          <w:szCs w:val="24"/>
        </w:rPr>
        <w:t xml:space="preserve">Sensors </w:t>
      </w:r>
      <w:r w:rsidR="00520560">
        <w:rPr>
          <w:rStyle w:val="fnt0"/>
          <w:rFonts w:cs="Times New Roman"/>
          <w:szCs w:val="24"/>
        </w:rPr>
        <w:t>accumulate</w:t>
      </w:r>
      <w:r w:rsidR="007E71B2">
        <w:rPr>
          <w:rStyle w:val="fnt0"/>
          <w:rFonts w:cs="Times New Roman"/>
          <w:szCs w:val="24"/>
        </w:rPr>
        <w:t xml:space="preserve"> </w:t>
      </w:r>
      <w:r w:rsidR="009B2C53">
        <w:rPr>
          <w:rStyle w:val="fnt0"/>
          <w:rFonts w:cs="Times New Roman"/>
          <w:szCs w:val="24"/>
        </w:rPr>
        <w:t>noise</w:t>
      </w:r>
      <w:r w:rsidR="009F0193">
        <w:rPr>
          <w:rStyle w:val="fnt0"/>
          <w:rFonts w:cs="Times New Roman"/>
          <w:szCs w:val="24"/>
        </w:rPr>
        <w:t>s</w:t>
      </w:r>
      <w:r w:rsidR="001B37DB">
        <w:rPr>
          <w:rStyle w:val="fnt0"/>
          <w:rFonts w:cs="Times New Roman"/>
          <w:szCs w:val="24"/>
        </w:rPr>
        <w:t xml:space="preserve"> due to </w:t>
      </w:r>
      <w:r w:rsidR="009F0193">
        <w:rPr>
          <w:rStyle w:val="fnt0"/>
          <w:rFonts w:cs="Times New Roman"/>
          <w:szCs w:val="24"/>
        </w:rPr>
        <w:t>interferences</w:t>
      </w:r>
      <w:r w:rsidR="001B37DB">
        <w:rPr>
          <w:rStyle w:val="fnt0"/>
          <w:rFonts w:cs="Times New Roman"/>
          <w:szCs w:val="24"/>
        </w:rPr>
        <w:t xml:space="preserve"> from electrical devices or imp</w:t>
      </w:r>
      <w:r w:rsidR="006D7185">
        <w:rPr>
          <w:rStyle w:val="fnt0"/>
          <w:rFonts w:cs="Times New Roman"/>
          <w:szCs w:val="24"/>
        </w:rPr>
        <w:t>ro</w:t>
      </w:r>
      <w:r w:rsidR="001B37DB">
        <w:rPr>
          <w:rStyle w:val="fnt0"/>
          <w:rFonts w:cs="Times New Roman"/>
          <w:szCs w:val="24"/>
        </w:rPr>
        <w:t xml:space="preserve">per </w:t>
      </w:r>
      <w:r w:rsidR="009F0193">
        <w:rPr>
          <w:rStyle w:val="fnt0"/>
          <w:rFonts w:cs="Times New Roman"/>
          <w:szCs w:val="24"/>
        </w:rPr>
        <w:t>use</w:t>
      </w:r>
      <w:r w:rsidR="00D963D7">
        <w:rPr>
          <w:rStyle w:val="fnt0"/>
          <w:rFonts w:cs="Times New Roman"/>
          <w:szCs w:val="24"/>
        </w:rPr>
        <w:t xml:space="preserve"> by patients</w:t>
      </w:r>
      <w:r w:rsidR="008C0DC5">
        <w:rPr>
          <w:rStyle w:val="fnt0"/>
          <w:rFonts w:cs="Times New Roman"/>
          <w:szCs w:val="24"/>
        </w:rPr>
        <w:t xml:space="preserve">.  </w:t>
      </w:r>
      <w:r w:rsidR="00A10D20">
        <w:rPr>
          <w:rStyle w:val="fnt0"/>
          <w:rFonts w:cs="Times New Roman"/>
          <w:szCs w:val="24"/>
        </w:rPr>
        <w:t xml:space="preserve">The fog layer </w:t>
      </w:r>
      <w:r w:rsidR="00EF5434">
        <w:rPr>
          <w:rStyle w:val="fnt0"/>
          <w:rFonts w:cs="Times New Roman"/>
          <w:szCs w:val="24"/>
        </w:rPr>
        <w:t>reduce</w:t>
      </w:r>
      <w:r w:rsidR="00482B7F">
        <w:rPr>
          <w:rStyle w:val="fnt0"/>
          <w:rFonts w:cs="Times New Roman"/>
          <w:szCs w:val="24"/>
        </w:rPr>
        <w:t>s</w:t>
      </w:r>
      <w:r w:rsidR="00EF5434">
        <w:rPr>
          <w:rStyle w:val="fnt0"/>
          <w:rFonts w:cs="Times New Roman"/>
          <w:szCs w:val="24"/>
        </w:rPr>
        <w:t xml:space="preserve"> this noise</w:t>
      </w:r>
      <w:r w:rsidR="00482B7F">
        <w:rPr>
          <w:rStyle w:val="fnt0"/>
          <w:rFonts w:cs="Times New Roman"/>
          <w:szCs w:val="24"/>
        </w:rPr>
        <w:t xml:space="preserve">.  </w:t>
      </w:r>
      <w:r w:rsidR="0093749A">
        <w:rPr>
          <w:rStyle w:val="fnt0"/>
          <w:rFonts w:cs="Times New Roman"/>
          <w:szCs w:val="24"/>
        </w:rPr>
        <w:t>Furthermore, the</w:t>
      </w:r>
      <w:r w:rsidR="00D65670">
        <w:rPr>
          <w:rStyle w:val="fnt0"/>
          <w:rFonts w:cs="Times New Roman"/>
          <w:szCs w:val="24"/>
        </w:rPr>
        <w:t xml:space="preserve"> fog layer </w:t>
      </w:r>
      <w:r w:rsidR="00AB0ACA">
        <w:rPr>
          <w:rStyle w:val="fnt0"/>
          <w:rFonts w:cs="Times New Roman"/>
          <w:szCs w:val="24"/>
        </w:rPr>
        <w:t xml:space="preserve">provides the </w:t>
      </w:r>
      <w:r w:rsidR="00813BC3">
        <w:rPr>
          <w:rStyle w:val="fnt0"/>
          <w:rFonts w:cs="Times New Roman"/>
          <w:szCs w:val="24"/>
        </w:rPr>
        <w:t xml:space="preserve">necessary </w:t>
      </w:r>
      <w:r w:rsidR="009E584D">
        <w:rPr>
          <w:rStyle w:val="fnt0"/>
          <w:rFonts w:cs="Times New Roman"/>
          <w:szCs w:val="24"/>
        </w:rPr>
        <w:t xml:space="preserve">processing power to perform </w:t>
      </w:r>
      <w:r w:rsidR="00FA4D4A">
        <w:rPr>
          <w:rStyle w:val="fnt0"/>
          <w:rFonts w:cs="Times New Roman"/>
          <w:szCs w:val="24"/>
        </w:rPr>
        <w:t xml:space="preserve">complex lossless data compression </w:t>
      </w:r>
      <w:r w:rsidR="00FE7B1F">
        <w:rPr>
          <w:rStyle w:val="fnt0"/>
          <w:rFonts w:cs="Times New Roman"/>
          <w:szCs w:val="24"/>
        </w:rPr>
        <w:t>algorithms</w:t>
      </w:r>
      <w:r w:rsidR="00C8094D">
        <w:rPr>
          <w:rStyle w:val="fnt0"/>
          <w:rFonts w:cs="Times New Roman"/>
          <w:szCs w:val="24"/>
        </w:rPr>
        <w:t xml:space="preserve"> in real-time</w:t>
      </w:r>
      <w:r w:rsidR="00E4368C">
        <w:rPr>
          <w:rStyle w:val="fnt0"/>
          <w:rFonts w:cs="Times New Roman"/>
          <w:szCs w:val="24"/>
        </w:rPr>
        <w:t>,</w:t>
      </w:r>
      <w:r w:rsidR="00F45289">
        <w:rPr>
          <w:rStyle w:val="fnt0"/>
          <w:rFonts w:cs="Times New Roman"/>
          <w:szCs w:val="24"/>
        </w:rPr>
        <w:t xml:space="preserve"> offloading this burden from the device laye</w:t>
      </w:r>
      <w:r w:rsidR="00300AE2">
        <w:rPr>
          <w:rStyle w:val="fnt0"/>
          <w:rFonts w:cs="Times New Roman"/>
          <w:szCs w:val="24"/>
        </w:rPr>
        <w:t>r (</w:t>
      </w:r>
      <w:proofErr w:type="spellStart"/>
      <w:r w:rsidR="00300AE2">
        <w:rPr>
          <w:rStyle w:val="fnt0"/>
          <w:rFonts w:cs="Times New Roman"/>
          <w:szCs w:val="24"/>
        </w:rPr>
        <w:t>Rahmani</w:t>
      </w:r>
      <w:proofErr w:type="spellEnd"/>
      <w:r w:rsidR="00300AE2">
        <w:rPr>
          <w:rStyle w:val="fnt0"/>
          <w:rFonts w:cs="Times New Roman"/>
          <w:szCs w:val="24"/>
        </w:rPr>
        <w:t xml:space="preserve"> et al., 2018).</w:t>
      </w:r>
    </w:p>
    <w:p w14:paraId="1B72165F" w14:textId="795F87DC" w:rsidR="008B37E4" w:rsidRPr="004E4905" w:rsidRDefault="004E4905" w:rsidP="00EB7EC3">
      <w:pPr>
        <w:spacing w:after="0" w:line="480" w:lineRule="auto"/>
        <w:ind w:firstLine="720"/>
        <w:rPr>
          <w:rStyle w:val="fnt0"/>
          <w:rFonts w:cs="Times New Roman"/>
          <w:b/>
          <w:bCs/>
          <w:szCs w:val="24"/>
        </w:rPr>
      </w:pPr>
      <w:r>
        <w:rPr>
          <w:rStyle w:val="fnt0"/>
          <w:rFonts w:cs="Times New Roman"/>
          <w:b/>
          <w:bCs/>
          <w:szCs w:val="24"/>
        </w:rPr>
        <w:t>Data fusion</w:t>
      </w:r>
      <w:r w:rsidR="00E907D8">
        <w:rPr>
          <w:rStyle w:val="fnt0"/>
          <w:rFonts w:cs="Times New Roman"/>
          <w:b/>
          <w:bCs/>
          <w:szCs w:val="24"/>
        </w:rPr>
        <w:t xml:space="preserve"> capabilities.</w:t>
      </w:r>
    </w:p>
    <w:p w14:paraId="0662A4E5" w14:textId="1078FEB1" w:rsidR="001C7934" w:rsidRDefault="001C7934" w:rsidP="00DE465E">
      <w:pPr>
        <w:spacing w:after="0" w:line="480" w:lineRule="auto"/>
        <w:ind w:firstLine="720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 xml:space="preserve">The fog layer also provides for data fusion.  Data fusion consists of three </w:t>
      </w:r>
      <w:r w:rsidR="004936F8">
        <w:rPr>
          <w:rStyle w:val="fnt0"/>
          <w:rFonts w:cs="Times New Roman"/>
          <w:szCs w:val="24"/>
        </w:rPr>
        <w:t>classes</w:t>
      </w:r>
      <w:r w:rsidR="005A594D">
        <w:rPr>
          <w:rStyle w:val="fnt0"/>
          <w:rFonts w:cs="Times New Roman"/>
          <w:szCs w:val="24"/>
        </w:rPr>
        <w:t xml:space="preserve">, including complementary, competitive, and cooperative fusion.  </w:t>
      </w:r>
      <w:r w:rsidR="00575326">
        <w:rPr>
          <w:rStyle w:val="fnt0"/>
          <w:rFonts w:cs="Times New Roman"/>
          <w:szCs w:val="24"/>
        </w:rPr>
        <w:t>An example of complementary data fusion would be combin</w:t>
      </w:r>
      <w:r w:rsidR="00136B2B">
        <w:rPr>
          <w:rStyle w:val="fnt0"/>
          <w:rFonts w:cs="Times New Roman"/>
          <w:szCs w:val="24"/>
        </w:rPr>
        <w:t xml:space="preserve">ing body temperature data with </w:t>
      </w:r>
      <w:r w:rsidR="00A965D6">
        <w:rPr>
          <w:rStyle w:val="fnt0"/>
          <w:rFonts w:cs="Times New Roman"/>
          <w:szCs w:val="24"/>
        </w:rPr>
        <w:t>environment</w:t>
      </w:r>
      <w:r w:rsidR="00F83F0D">
        <w:rPr>
          <w:rStyle w:val="fnt0"/>
          <w:rFonts w:cs="Times New Roman"/>
          <w:szCs w:val="24"/>
        </w:rPr>
        <w:t>al</w:t>
      </w:r>
      <w:r w:rsidR="00A965D6">
        <w:rPr>
          <w:rStyle w:val="fnt0"/>
          <w:rFonts w:cs="Times New Roman"/>
          <w:szCs w:val="24"/>
        </w:rPr>
        <w:t xml:space="preserve"> data to </w:t>
      </w:r>
      <w:r w:rsidR="00F83F0D">
        <w:rPr>
          <w:rStyle w:val="fnt0"/>
          <w:rFonts w:cs="Times New Roman"/>
          <w:szCs w:val="24"/>
        </w:rPr>
        <w:t xml:space="preserve">determine the severity of </w:t>
      </w:r>
      <w:r w:rsidR="004B1E02">
        <w:rPr>
          <w:rStyle w:val="fnt0"/>
          <w:rFonts w:cs="Times New Roman"/>
          <w:szCs w:val="24"/>
        </w:rPr>
        <w:t xml:space="preserve">temperature </w:t>
      </w:r>
      <w:r w:rsidR="00F83F0D">
        <w:rPr>
          <w:rStyle w:val="fnt0"/>
          <w:rFonts w:cs="Times New Roman"/>
          <w:szCs w:val="24"/>
        </w:rPr>
        <w:t xml:space="preserve">anomalies.  </w:t>
      </w:r>
      <w:r w:rsidR="00B258AB">
        <w:rPr>
          <w:rStyle w:val="fnt0"/>
          <w:rFonts w:cs="Times New Roman"/>
          <w:szCs w:val="24"/>
        </w:rPr>
        <w:t xml:space="preserve">The fog layer handles competitive fusion by </w:t>
      </w:r>
      <w:r w:rsidR="003A27CC">
        <w:rPr>
          <w:rStyle w:val="fnt0"/>
          <w:rFonts w:cs="Times New Roman"/>
          <w:szCs w:val="24"/>
        </w:rPr>
        <w:t xml:space="preserve">collecting data </w:t>
      </w:r>
      <w:r w:rsidR="004B1E02">
        <w:rPr>
          <w:rStyle w:val="fnt0"/>
          <w:rFonts w:cs="Times New Roman"/>
          <w:szCs w:val="24"/>
        </w:rPr>
        <w:t xml:space="preserve">for a single parameter </w:t>
      </w:r>
      <w:r w:rsidR="00D0313A">
        <w:rPr>
          <w:rStyle w:val="fnt0"/>
          <w:rFonts w:cs="Times New Roman"/>
          <w:szCs w:val="24"/>
        </w:rPr>
        <w:t xml:space="preserve">from </w:t>
      </w:r>
      <w:r w:rsidR="006A63F9">
        <w:rPr>
          <w:rStyle w:val="fnt0"/>
          <w:rFonts w:cs="Times New Roman"/>
          <w:szCs w:val="24"/>
        </w:rPr>
        <w:t xml:space="preserve">several sources.  In this way, we </w:t>
      </w:r>
      <w:r w:rsidR="0020555C">
        <w:rPr>
          <w:rStyle w:val="fnt0"/>
          <w:rFonts w:cs="Times New Roman"/>
          <w:szCs w:val="24"/>
        </w:rPr>
        <w:t xml:space="preserve">strive to ensure data accuracy </w:t>
      </w:r>
      <w:r w:rsidR="005A3FB5">
        <w:rPr>
          <w:rStyle w:val="fnt0"/>
          <w:rFonts w:cs="Times New Roman"/>
          <w:szCs w:val="24"/>
        </w:rPr>
        <w:t>and reliability in case of sensor failure</w:t>
      </w:r>
      <w:r w:rsidR="004B1E02">
        <w:rPr>
          <w:rStyle w:val="fnt0"/>
          <w:rFonts w:cs="Times New Roman"/>
          <w:szCs w:val="24"/>
        </w:rPr>
        <w:t>s</w:t>
      </w:r>
      <w:r w:rsidR="005A3FB5">
        <w:rPr>
          <w:rStyle w:val="fnt0"/>
          <w:rFonts w:cs="Times New Roman"/>
          <w:szCs w:val="24"/>
        </w:rPr>
        <w:t xml:space="preserve">.  </w:t>
      </w:r>
      <w:r w:rsidR="00124FA0">
        <w:rPr>
          <w:rStyle w:val="fnt0"/>
          <w:rFonts w:cs="Times New Roman"/>
          <w:szCs w:val="24"/>
        </w:rPr>
        <w:t xml:space="preserve">Lastly, </w:t>
      </w:r>
      <w:r w:rsidR="00087DB3">
        <w:rPr>
          <w:rStyle w:val="fnt0"/>
          <w:rFonts w:cs="Times New Roman"/>
          <w:szCs w:val="24"/>
        </w:rPr>
        <w:t xml:space="preserve">cooperative fusion </w:t>
      </w:r>
      <w:r w:rsidR="00ED7DF2">
        <w:rPr>
          <w:rStyle w:val="fnt0"/>
          <w:rFonts w:cs="Times New Roman"/>
          <w:szCs w:val="24"/>
        </w:rPr>
        <w:t xml:space="preserve">can provide </w:t>
      </w:r>
      <w:r w:rsidR="00191FEB">
        <w:rPr>
          <w:rStyle w:val="fnt0"/>
          <w:rFonts w:cs="Times New Roman"/>
          <w:szCs w:val="24"/>
        </w:rPr>
        <w:t xml:space="preserve">comprehensive information, such </w:t>
      </w:r>
      <w:r w:rsidR="009316CD">
        <w:rPr>
          <w:rStyle w:val="fnt0"/>
          <w:rFonts w:cs="Times New Roman"/>
          <w:szCs w:val="24"/>
        </w:rPr>
        <w:t xml:space="preserve">as a patient’s </w:t>
      </w:r>
      <w:r w:rsidR="00A568B7">
        <w:rPr>
          <w:rStyle w:val="fnt0"/>
          <w:rFonts w:cs="Times New Roman"/>
          <w:szCs w:val="24"/>
        </w:rPr>
        <w:t>medical state</w:t>
      </w:r>
      <w:r w:rsidR="00C729A5">
        <w:rPr>
          <w:rStyle w:val="fnt0"/>
          <w:rFonts w:cs="Times New Roman"/>
          <w:szCs w:val="24"/>
        </w:rPr>
        <w:t>,</w:t>
      </w:r>
      <w:r w:rsidR="0010157C">
        <w:rPr>
          <w:rStyle w:val="fnt0"/>
          <w:rFonts w:cs="Times New Roman"/>
          <w:szCs w:val="24"/>
        </w:rPr>
        <w:t xml:space="preserve"> based on</w:t>
      </w:r>
      <w:r w:rsidR="00C729A5">
        <w:rPr>
          <w:rStyle w:val="fnt0"/>
          <w:rFonts w:cs="Times New Roman"/>
          <w:szCs w:val="24"/>
        </w:rPr>
        <w:t xml:space="preserve"> an analysis of</w:t>
      </w:r>
      <w:r w:rsidR="0010157C">
        <w:rPr>
          <w:rStyle w:val="fnt0"/>
          <w:rFonts w:cs="Times New Roman"/>
          <w:szCs w:val="24"/>
        </w:rPr>
        <w:t xml:space="preserve"> heterogeneous</w:t>
      </w:r>
      <w:r w:rsidR="00B14F45">
        <w:rPr>
          <w:rStyle w:val="fnt0"/>
          <w:rFonts w:cs="Times New Roman"/>
          <w:szCs w:val="24"/>
        </w:rPr>
        <w:t xml:space="preserve"> data</w:t>
      </w:r>
      <w:r w:rsidR="0010157C">
        <w:rPr>
          <w:rStyle w:val="fnt0"/>
          <w:rFonts w:cs="Times New Roman"/>
          <w:szCs w:val="24"/>
        </w:rPr>
        <w:t xml:space="preserve"> sources</w:t>
      </w:r>
      <w:r w:rsidR="00600669">
        <w:rPr>
          <w:rStyle w:val="fnt0"/>
          <w:rFonts w:cs="Times New Roman"/>
          <w:szCs w:val="24"/>
        </w:rPr>
        <w:t>,</w:t>
      </w:r>
      <w:r w:rsidR="00C364F0">
        <w:rPr>
          <w:rStyle w:val="fnt0"/>
          <w:rFonts w:cs="Times New Roman"/>
          <w:szCs w:val="24"/>
        </w:rPr>
        <w:t xml:space="preserve"> </w:t>
      </w:r>
      <w:r w:rsidR="00B14F45">
        <w:rPr>
          <w:rStyle w:val="fnt0"/>
          <w:rFonts w:cs="Times New Roman"/>
          <w:szCs w:val="24"/>
        </w:rPr>
        <w:t>including</w:t>
      </w:r>
      <w:r w:rsidR="00C364F0">
        <w:rPr>
          <w:rStyle w:val="fnt0"/>
          <w:rFonts w:cs="Times New Roman"/>
          <w:szCs w:val="24"/>
        </w:rPr>
        <w:t xml:space="preserve"> </w:t>
      </w:r>
      <w:r w:rsidR="00C729A5">
        <w:rPr>
          <w:rStyle w:val="fnt0"/>
          <w:rFonts w:cs="Times New Roman"/>
          <w:szCs w:val="24"/>
        </w:rPr>
        <w:t>vital signs</w:t>
      </w:r>
      <w:r w:rsidR="0082719E">
        <w:rPr>
          <w:rStyle w:val="fnt0"/>
          <w:rFonts w:cs="Times New Roman"/>
          <w:szCs w:val="24"/>
        </w:rPr>
        <w:t xml:space="preserve"> </w:t>
      </w:r>
      <w:r w:rsidR="0082719E">
        <w:t>(</w:t>
      </w:r>
      <w:proofErr w:type="spellStart"/>
      <w:r w:rsidR="0082719E">
        <w:t>Rahmani</w:t>
      </w:r>
      <w:proofErr w:type="spellEnd"/>
      <w:r w:rsidR="0082719E">
        <w:t xml:space="preserve"> et al., 2018)</w:t>
      </w:r>
      <w:r w:rsidR="0082719E">
        <w:rPr>
          <w:rStyle w:val="fnt0"/>
          <w:rFonts w:cs="Times New Roman"/>
          <w:szCs w:val="24"/>
        </w:rPr>
        <w:t>.</w:t>
      </w:r>
    </w:p>
    <w:p w14:paraId="30F8F974" w14:textId="17996215" w:rsidR="00F76665" w:rsidRPr="00C26350" w:rsidRDefault="00C26350" w:rsidP="00DE465E">
      <w:pPr>
        <w:spacing w:after="0" w:line="480" w:lineRule="auto"/>
        <w:ind w:firstLine="720"/>
        <w:rPr>
          <w:rStyle w:val="fnt0"/>
          <w:rFonts w:cs="Times New Roman"/>
          <w:b/>
          <w:bCs/>
          <w:szCs w:val="24"/>
        </w:rPr>
      </w:pPr>
      <w:r>
        <w:rPr>
          <w:rStyle w:val="fnt0"/>
          <w:rFonts w:cs="Times New Roman"/>
          <w:b/>
          <w:bCs/>
          <w:szCs w:val="24"/>
        </w:rPr>
        <w:t>Edge analytics.</w:t>
      </w:r>
    </w:p>
    <w:p w14:paraId="329ADD6D" w14:textId="4642B75B" w:rsidR="009E758C" w:rsidRDefault="000A7934" w:rsidP="00DE465E">
      <w:pPr>
        <w:spacing w:after="0" w:line="480" w:lineRule="auto"/>
        <w:ind w:firstLine="720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t>From this</w:t>
      </w:r>
      <w:r w:rsidR="00F00496">
        <w:rPr>
          <w:rStyle w:val="fnt0"/>
          <w:rFonts w:cs="Times New Roman"/>
          <w:szCs w:val="24"/>
        </w:rPr>
        <w:t>,</w:t>
      </w:r>
      <w:r>
        <w:rPr>
          <w:rStyle w:val="fnt0"/>
          <w:rFonts w:cs="Times New Roman"/>
          <w:szCs w:val="24"/>
        </w:rPr>
        <w:t xml:space="preserve"> we </w:t>
      </w:r>
      <w:r w:rsidR="0023038C">
        <w:rPr>
          <w:rStyle w:val="fnt0"/>
          <w:rFonts w:cs="Times New Roman"/>
          <w:szCs w:val="24"/>
        </w:rPr>
        <w:t>enhance</w:t>
      </w:r>
      <w:r w:rsidR="00F32EAF">
        <w:rPr>
          <w:rStyle w:val="fnt0"/>
          <w:rFonts w:cs="Times New Roman"/>
          <w:szCs w:val="24"/>
        </w:rPr>
        <w:t xml:space="preserve"> the sensitivity</w:t>
      </w:r>
      <w:r w:rsidR="003D07CE">
        <w:rPr>
          <w:rStyle w:val="fnt0"/>
          <w:rFonts w:cs="Times New Roman"/>
          <w:szCs w:val="24"/>
        </w:rPr>
        <w:t xml:space="preserve"> of</w:t>
      </w:r>
      <w:r w:rsidR="0023038C">
        <w:rPr>
          <w:rStyle w:val="fnt0"/>
          <w:rFonts w:cs="Times New Roman"/>
          <w:szCs w:val="24"/>
        </w:rPr>
        <w:t xml:space="preserve"> our </w:t>
      </w:r>
      <w:r w:rsidR="00F00496">
        <w:rPr>
          <w:rStyle w:val="fnt0"/>
          <w:rFonts w:cs="Times New Roman"/>
          <w:szCs w:val="24"/>
        </w:rPr>
        <w:t xml:space="preserve">BI </w:t>
      </w:r>
      <w:r w:rsidR="00216D5B">
        <w:rPr>
          <w:rStyle w:val="fnt0"/>
          <w:rFonts w:cs="Times New Roman"/>
          <w:szCs w:val="24"/>
        </w:rPr>
        <w:t xml:space="preserve">ecosystem by performing data analytics </w:t>
      </w:r>
      <w:r w:rsidR="003D07CE">
        <w:rPr>
          <w:rStyle w:val="fnt0"/>
          <w:rFonts w:cs="Times New Roman"/>
          <w:szCs w:val="24"/>
        </w:rPr>
        <w:t>at the edge</w:t>
      </w:r>
      <w:r w:rsidR="00B9672F">
        <w:rPr>
          <w:rStyle w:val="fnt0"/>
          <w:rFonts w:cs="Times New Roman"/>
          <w:szCs w:val="24"/>
        </w:rPr>
        <w:t xml:space="preserve"> layer</w:t>
      </w:r>
      <w:r w:rsidR="003D07CE">
        <w:rPr>
          <w:rStyle w:val="fnt0"/>
          <w:rFonts w:cs="Times New Roman"/>
          <w:szCs w:val="24"/>
        </w:rPr>
        <w:t xml:space="preserve">.  </w:t>
      </w:r>
      <w:r w:rsidR="00532A38">
        <w:rPr>
          <w:rStyle w:val="fnt0"/>
          <w:rFonts w:cs="Times New Roman"/>
          <w:szCs w:val="24"/>
        </w:rPr>
        <w:t xml:space="preserve">By performing data </w:t>
      </w:r>
      <w:r w:rsidR="004B1E02">
        <w:rPr>
          <w:rStyle w:val="fnt0"/>
          <w:rFonts w:cs="Times New Roman"/>
          <w:szCs w:val="24"/>
        </w:rPr>
        <w:t xml:space="preserve">analytics </w:t>
      </w:r>
      <w:r w:rsidR="002D7A4E">
        <w:rPr>
          <w:rStyle w:val="fnt0"/>
          <w:rFonts w:cs="Times New Roman"/>
          <w:szCs w:val="24"/>
        </w:rPr>
        <w:t>here</w:t>
      </w:r>
      <w:r w:rsidR="004B1E02">
        <w:rPr>
          <w:rStyle w:val="fnt0"/>
          <w:rFonts w:cs="Times New Roman"/>
          <w:szCs w:val="24"/>
        </w:rPr>
        <w:t>, our system is more responsive to patient emerg</w:t>
      </w:r>
      <w:r w:rsidR="00EC139D">
        <w:rPr>
          <w:rStyle w:val="fnt0"/>
          <w:rFonts w:cs="Times New Roman"/>
          <w:szCs w:val="24"/>
        </w:rPr>
        <w:t>enci</w:t>
      </w:r>
      <w:r w:rsidR="004B1E02">
        <w:rPr>
          <w:rStyle w:val="fnt0"/>
          <w:rFonts w:cs="Times New Roman"/>
          <w:szCs w:val="24"/>
        </w:rPr>
        <w:t>es</w:t>
      </w:r>
      <w:r w:rsidR="00EC139D">
        <w:rPr>
          <w:rStyle w:val="fnt0"/>
          <w:rFonts w:cs="Times New Roman"/>
          <w:szCs w:val="24"/>
        </w:rPr>
        <w:t>.</w:t>
      </w:r>
      <w:r w:rsidR="00380C5D">
        <w:rPr>
          <w:rStyle w:val="fnt0"/>
          <w:rFonts w:cs="Times New Roman"/>
          <w:szCs w:val="24"/>
        </w:rPr>
        <w:t xml:space="preserve">  </w:t>
      </w:r>
      <w:r w:rsidR="00EC139D">
        <w:rPr>
          <w:rStyle w:val="fnt0"/>
          <w:rFonts w:cs="Times New Roman"/>
          <w:szCs w:val="24"/>
        </w:rPr>
        <w:t>We no longer have</w:t>
      </w:r>
      <w:r w:rsidR="00FD4941">
        <w:rPr>
          <w:rStyle w:val="fnt0"/>
          <w:rFonts w:cs="Times New Roman"/>
          <w:szCs w:val="24"/>
        </w:rPr>
        <w:t xml:space="preserve"> t</w:t>
      </w:r>
      <w:r w:rsidR="005A0C98">
        <w:rPr>
          <w:rStyle w:val="fnt0"/>
          <w:rFonts w:cs="Times New Roman"/>
          <w:szCs w:val="24"/>
        </w:rPr>
        <w:t xml:space="preserve">o </w:t>
      </w:r>
      <w:r w:rsidR="00FD4941">
        <w:rPr>
          <w:rStyle w:val="fnt0"/>
          <w:rFonts w:cs="Times New Roman"/>
          <w:szCs w:val="24"/>
        </w:rPr>
        <w:t>wait for our cloud server</w:t>
      </w:r>
      <w:r w:rsidR="00F669F4">
        <w:rPr>
          <w:rStyle w:val="fnt0"/>
          <w:rFonts w:cs="Times New Roman"/>
          <w:szCs w:val="24"/>
        </w:rPr>
        <w:t xml:space="preserve"> to </w:t>
      </w:r>
      <w:r w:rsidR="00FE0740">
        <w:rPr>
          <w:rStyle w:val="fnt0"/>
          <w:rFonts w:cs="Times New Roman"/>
          <w:szCs w:val="24"/>
        </w:rPr>
        <w:t>return</w:t>
      </w:r>
      <w:r w:rsidR="00F669F4">
        <w:rPr>
          <w:rStyle w:val="fnt0"/>
          <w:rFonts w:cs="Times New Roman"/>
          <w:szCs w:val="24"/>
        </w:rPr>
        <w:t xml:space="preserve"> </w:t>
      </w:r>
      <w:r w:rsidR="002D7A4E">
        <w:rPr>
          <w:rStyle w:val="fnt0"/>
          <w:rFonts w:cs="Times New Roman"/>
          <w:szCs w:val="24"/>
        </w:rPr>
        <w:t>our</w:t>
      </w:r>
      <w:r w:rsidR="00F669F4">
        <w:rPr>
          <w:rStyle w:val="fnt0"/>
          <w:rFonts w:cs="Times New Roman"/>
          <w:szCs w:val="24"/>
        </w:rPr>
        <w:t xml:space="preserve"> response</w:t>
      </w:r>
      <w:r w:rsidR="00251CF6">
        <w:rPr>
          <w:rStyle w:val="fnt0"/>
          <w:rFonts w:cs="Times New Roman"/>
          <w:szCs w:val="24"/>
        </w:rPr>
        <w:t xml:space="preserve">.  </w:t>
      </w:r>
      <w:r w:rsidR="005C3F8C">
        <w:rPr>
          <w:rStyle w:val="fnt0"/>
          <w:rFonts w:cs="Times New Roman"/>
          <w:szCs w:val="24"/>
        </w:rPr>
        <w:t xml:space="preserve">The fog layer offers real-time emergency responses, which are critical in detecting elderly falls, seizures, </w:t>
      </w:r>
      <w:r w:rsidR="005C3F8C">
        <w:rPr>
          <w:rStyle w:val="fnt0"/>
          <w:rFonts w:cs="Times New Roman"/>
          <w:szCs w:val="24"/>
        </w:rPr>
        <w:lastRenderedPageBreak/>
        <w:t xml:space="preserve">or heart attacks.  </w:t>
      </w:r>
      <w:r w:rsidR="002D7A4E">
        <w:rPr>
          <w:rStyle w:val="fnt0"/>
          <w:rFonts w:cs="Times New Roman"/>
          <w:szCs w:val="24"/>
        </w:rPr>
        <w:t>Moreover</w:t>
      </w:r>
      <w:r w:rsidR="008B633B">
        <w:rPr>
          <w:rStyle w:val="fnt0"/>
          <w:rFonts w:cs="Times New Roman"/>
          <w:szCs w:val="24"/>
        </w:rPr>
        <w:t>, b</w:t>
      </w:r>
      <w:r w:rsidR="00BE5285">
        <w:rPr>
          <w:rStyle w:val="fnt0"/>
          <w:rFonts w:cs="Times New Roman"/>
          <w:szCs w:val="24"/>
        </w:rPr>
        <w:t>y performing high-level analytic</w:t>
      </w:r>
      <w:r w:rsidR="00F63675">
        <w:rPr>
          <w:rStyle w:val="fnt0"/>
          <w:rFonts w:cs="Times New Roman"/>
          <w:szCs w:val="24"/>
        </w:rPr>
        <w:t xml:space="preserve">s </w:t>
      </w:r>
      <w:r w:rsidR="00BE5285">
        <w:rPr>
          <w:rStyle w:val="fnt0"/>
          <w:rFonts w:cs="Times New Roman"/>
          <w:szCs w:val="24"/>
        </w:rPr>
        <w:t xml:space="preserve">in </w:t>
      </w:r>
      <w:r w:rsidR="006049C9">
        <w:rPr>
          <w:rStyle w:val="fnt0"/>
          <w:rFonts w:cs="Times New Roman"/>
          <w:szCs w:val="24"/>
        </w:rPr>
        <w:t xml:space="preserve">the fog layer, </w:t>
      </w:r>
      <w:r w:rsidR="00D51A94">
        <w:rPr>
          <w:rStyle w:val="fnt0"/>
          <w:rFonts w:cs="Times New Roman"/>
          <w:szCs w:val="24"/>
        </w:rPr>
        <w:t>w</w:t>
      </w:r>
      <w:r w:rsidR="00DC6C58">
        <w:rPr>
          <w:rStyle w:val="fnt0"/>
          <w:rFonts w:cs="Times New Roman"/>
          <w:szCs w:val="24"/>
        </w:rPr>
        <w:t xml:space="preserve">e </w:t>
      </w:r>
      <w:r w:rsidR="00383BB4">
        <w:rPr>
          <w:rStyle w:val="fnt0"/>
          <w:rFonts w:cs="Times New Roman"/>
          <w:szCs w:val="24"/>
        </w:rPr>
        <w:t>reduce</w:t>
      </w:r>
      <w:r w:rsidR="00D51A94">
        <w:rPr>
          <w:rStyle w:val="fnt0"/>
          <w:rFonts w:cs="Times New Roman"/>
          <w:szCs w:val="24"/>
        </w:rPr>
        <w:t xml:space="preserve"> processing latencies</w:t>
      </w:r>
      <w:r w:rsidR="00DC6C58">
        <w:rPr>
          <w:rStyle w:val="fnt0"/>
          <w:rFonts w:cs="Times New Roman"/>
          <w:szCs w:val="24"/>
        </w:rPr>
        <w:t xml:space="preserve">. </w:t>
      </w:r>
      <w:r w:rsidR="008B633B">
        <w:rPr>
          <w:rStyle w:val="fnt0"/>
          <w:rFonts w:cs="Times New Roman"/>
          <w:szCs w:val="24"/>
        </w:rPr>
        <w:t xml:space="preserve">Encrypted local storage systems can act as </w:t>
      </w:r>
      <w:r w:rsidR="00631763">
        <w:rPr>
          <w:rStyle w:val="fnt0"/>
          <w:rFonts w:cs="Times New Roman"/>
          <w:szCs w:val="24"/>
        </w:rPr>
        <w:t>caches</w:t>
      </w:r>
      <w:r w:rsidR="008B633B">
        <w:rPr>
          <w:rStyle w:val="fnt0"/>
          <w:rFonts w:cs="Times New Roman"/>
          <w:szCs w:val="24"/>
        </w:rPr>
        <w:t xml:space="preserve"> to ensure the continuous flow of data throughout the </w:t>
      </w:r>
      <w:r w:rsidR="00AD0BBF">
        <w:rPr>
          <w:rStyle w:val="fnt0"/>
          <w:rFonts w:cs="Times New Roman"/>
          <w:szCs w:val="24"/>
        </w:rPr>
        <w:t>network</w:t>
      </w:r>
      <w:r w:rsidR="00F33F28">
        <w:rPr>
          <w:rStyle w:val="fnt0"/>
          <w:rFonts w:cs="Times New Roman"/>
          <w:szCs w:val="24"/>
        </w:rPr>
        <w:t xml:space="preserve"> </w:t>
      </w:r>
      <w:r w:rsidR="008B633B">
        <w:rPr>
          <w:rStyle w:val="fnt0"/>
          <w:rFonts w:cs="Times New Roman"/>
          <w:szCs w:val="24"/>
        </w:rPr>
        <w:t>since the speed to transmit data from the gateway to the cloud is constrained by bandwidth</w:t>
      </w:r>
      <w:r w:rsidR="00DD7440">
        <w:rPr>
          <w:rStyle w:val="fnt0"/>
          <w:rFonts w:cs="Times New Roman"/>
          <w:szCs w:val="24"/>
        </w:rPr>
        <w:t xml:space="preserve">. </w:t>
      </w:r>
      <w:r w:rsidR="00F33F28">
        <w:rPr>
          <w:rStyle w:val="fnt0"/>
          <w:rFonts w:cs="Times New Roman"/>
          <w:szCs w:val="24"/>
        </w:rPr>
        <w:t xml:space="preserve"> </w:t>
      </w:r>
      <w:r w:rsidR="000E20BF">
        <w:rPr>
          <w:rStyle w:val="fnt0"/>
          <w:rFonts w:cs="Times New Roman"/>
          <w:szCs w:val="24"/>
        </w:rPr>
        <w:t>L</w:t>
      </w:r>
      <w:r w:rsidR="00F33F28">
        <w:rPr>
          <w:rStyle w:val="fnt0"/>
          <w:rFonts w:cs="Times New Roman"/>
          <w:szCs w:val="24"/>
        </w:rPr>
        <w:t>ocal encrypted</w:t>
      </w:r>
      <w:r w:rsidR="00E64764">
        <w:rPr>
          <w:rStyle w:val="fnt0"/>
          <w:rFonts w:cs="Times New Roman"/>
          <w:szCs w:val="24"/>
        </w:rPr>
        <w:t xml:space="preserve"> storage in </w:t>
      </w:r>
      <w:r w:rsidR="000E20BF">
        <w:rPr>
          <w:rStyle w:val="fnt0"/>
          <w:rFonts w:cs="Times New Roman"/>
          <w:szCs w:val="24"/>
        </w:rPr>
        <w:t>the fog layer</w:t>
      </w:r>
      <w:r w:rsidR="00E64764">
        <w:rPr>
          <w:rStyle w:val="fnt0"/>
          <w:rFonts w:cs="Times New Roman"/>
          <w:szCs w:val="24"/>
        </w:rPr>
        <w:t xml:space="preserve"> </w:t>
      </w:r>
      <w:r w:rsidR="00225D5B">
        <w:rPr>
          <w:rStyle w:val="fnt0"/>
          <w:rFonts w:cs="Times New Roman"/>
          <w:szCs w:val="24"/>
        </w:rPr>
        <w:t xml:space="preserve">allows us </w:t>
      </w:r>
      <w:r w:rsidR="004E4B68">
        <w:rPr>
          <w:rStyle w:val="fnt0"/>
          <w:rFonts w:cs="Times New Roman"/>
          <w:szCs w:val="24"/>
        </w:rPr>
        <w:t xml:space="preserve">to </w:t>
      </w:r>
      <w:r w:rsidR="004C4513">
        <w:rPr>
          <w:rStyle w:val="fnt0"/>
          <w:rFonts w:cs="Times New Roman"/>
          <w:szCs w:val="24"/>
        </w:rPr>
        <w:t xml:space="preserve">keep a </w:t>
      </w:r>
      <w:r w:rsidR="00313C84">
        <w:rPr>
          <w:rStyle w:val="fnt0"/>
          <w:rFonts w:cs="Times New Roman"/>
          <w:szCs w:val="24"/>
        </w:rPr>
        <w:t>secure</w:t>
      </w:r>
      <w:r w:rsidR="001B4804">
        <w:rPr>
          <w:rStyle w:val="fnt0"/>
          <w:rFonts w:cs="Times New Roman"/>
          <w:szCs w:val="24"/>
        </w:rPr>
        <w:t xml:space="preserve">, reliable </w:t>
      </w:r>
      <w:r w:rsidR="004C4513">
        <w:rPr>
          <w:rStyle w:val="fnt0"/>
          <w:rFonts w:cs="Times New Roman"/>
          <w:szCs w:val="24"/>
        </w:rPr>
        <w:t>system operational</w:t>
      </w:r>
      <w:r w:rsidR="00E04B15">
        <w:rPr>
          <w:rStyle w:val="fnt0"/>
          <w:rFonts w:cs="Times New Roman"/>
          <w:szCs w:val="24"/>
        </w:rPr>
        <w:t xml:space="preserve">, </w:t>
      </w:r>
      <w:r w:rsidR="004C4513">
        <w:rPr>
          <w:rStyle w:val="fnt0"/>
          <w:rFonts w:cs="Times New Roman"/>
          <w:szCs w:val="24"/>
        </w:rPr>
        <w:t xml:space="preserve">even </w:t>
      </w:r>
      <w:r w:rsidR="004E4B68">
        <w:rPr>
          <w:rStyle w:val="fnt0"/>
          <w:rFonts w:cs="Times New Roman"/>
          <w:szCs w:val="24"/>
        </w:rPr>
        <w:t xml:space="preserve">in cases of </w:t>
      </w:r>
      <w:r w:rsidR="001B4804">
        <w:rPr>
          <w:rStyle w:val="fnt0"/>
          <w:rFonts w:cs="Times New Roman"/>
          <w:szCs w:val="24"/>
        </w:rPr>
        <w:t>internet unavailability</w:t>
      </w:r>
      <w:r w:rsidR="004E4B68">
        <w:rPr>
          <w:rStyle w:val="fnt0"/>
          <w:rFonts w:cs="Times New Roman"/>
          <w:szCs w:val="24"/>
        </w:rPr>
        <w:t>.</w:t>
      </w:r>
      <w:r w:rsidR="00F33A4F">
        <w:rPr>
          <w:rStyle w:val="fnt0"/>
          <w:rFonts w:cs="Times New Roman"/>
          <w:szCs w:val="24"/>
        </w:rPr>
        <w:t xml:space="preserve">  </w:t>
      </w:r>
      <w:r w:rsidR="001516D3">
        <w:rPr>
          <w:rStyle w:val="fnt0"/>
          <w:rFonts w:cs="Times New Roman"/>
          <w:szCs w:val="24"/>
        </w:rPr>
        <w:t xml:space="preserve">We can </w:t>
      </w:r>
      <w:r w:rsidR="000E20BF">
        <w:rPr>
          <w:rStyle w:val="fnt0"/>
          <w:rFonts w:cs="Times New Roman"/>
          <w:szCs w:val="24"/>
        </w:rPr>
        <w:t xml:space="preserve">later </w:t>
      </w:r>
      <w:r w:rsidR="00D40FA8">
        <w:rPr>
          <w:rStyle w:val="fnt0"/>
          <w:rFonts w:cs="Times New Roman"/>
          <w:szCs w:val="24"/>
        </w:rPr>
        <w:t>synchronize local s</w:t>
      </w:r>
      <w:r w:rsidR="001B4804">
        <w:rPr>
          <w:rStyle w:val="fnt0"/>
          <w:rFonts w:cs="Times New Roman"/>
          <w:szCs w:val="24"/>
        </w:rPr>
        <w:t>torage</w:t>
      </w:r>
      <w:r w:rsidR="0033602A">
        <w:rPr>
          <w:rStyle w:val="fnt0"/>
          <w:rFonts w:cs="Times New Roman"/>
          <w:szCs w:val="24"/>
        </w:rPr>
        <w:t xml:space="preserve"> </w:t>
      </w:r>
      <w:r w:rsidR="00FF7535">
        <w:rPr>
          <w:rStyle w:val="fnt0"/>
          <w:rFonts w:cs="Times New Roman"/>
          <w:szCs w:val="24"/>
        </w:rPr>
        <w:t>with the Cloud</w:t>
      </w:r>
      <w:r w:rsidR="00E62B50">
        <w:rPr>
          <w:rStyle w:val="fnt0"/>
          <w:rFonts w:cs="Times New Roman"/>
          <w:szCs w:val="24"/>
        </w:rPr>
        <w:t xml:space="preserve"> </w:t>
      </w:r>
      <w:r w:rsidR="003E0B02">
        <w:rPr>
          <w:rStyle w:val="fnt0"/>
          <w:rFonts w:cs="Times New Roman"/>
          <w:szCs w:val="24"/>
        </w:rPr>
        <w:t>(</w:t>
      </w:r>
      <w:proofErr w:type="spellStart"/>
      <w:r w:rsidR="003E0B02">
        <w:rPr>
          <w:rStyle w:val="fnt0"/>
          <w:rFonts w:cs="Times New Roman"/>
          <w:szCs w:val="24"/>
        </w:rPr>
        <w:t>Rahmani</w:t>
      </w:r>
      <w:proofErr w:type="spellEnd"/>
      <w:r w:rsidR="003E0B02">
        <w:rPr>
          <w:rStyle w:val="fnt0"/>
          <w:rFonts w:cs="Times New Roman"/>
          <w:szCs w:val="24"/>
        </w:rPr>
        <w:t xml:space="preserve"> et al., 2018).</w:t>
      </w:r>
    </w:p>
    <w:p w14:paraId="1BF81F86" w14:textId="4774906C" w:rsidR="007011AD" w:rsidRPr="007011AD" w:rsidRDefault="007011AD" w:rsidP="007011AD">
      <w:pPr>
        <w:spacing w:after="0" w:line="480" w:lineRule="auto"/>
        <w:rPr>
          <w:rStyle w:val="fnt0"/>
          <w:rFonts w:cs="Times New Roman"/>
          <w:b/>
          <w:bCs/>
          <w:szCs w:val="24"/>
        </w:rPr>
      </w:pPr>
      <w:r>
        <w:rPr>
          <w:rStyle w:val="fnt0"/>
          <w:rFonts w:cs="Times New Roman"/>
          <w:b/>
          <w:bCs/>
          <w:szCs w:val="24"/>
        </w:rPr>
        <w:t>Cloud Layer</w:t>
      </w:r>
    </w:p>
    <w:p w14:paraId="49BB1822" w14:textId="682D2417" w:rsidR="001B1EE1" w:rsidRDefault="000D4387" w:rsidP="00DE465E">
      <w:pPr>
        <w:spacing w:after="0" w:line="480" w:lineRule="auto"/>
        <w:ind w:firstLine="720"/>
      </w:pPr>
      <w:r>
        <w:rPr>
          <w:rStyle w:val="fnt0"/>
          <w:rFonts w:cs="Times New Roman"/>
          <w:szCs w:val="24"/>
        </w:rPr>
        <w:t xml:space="preserve">The final </w:t>
      </w:r>
      <w:r w:rsidR="00130513">
        <w:rPr>
          <w:rStyle w:val="fnt0"/>
          <w:rFonts w:cs="Times New Roman"/>
          <w:szCs w:val="24"/>
        </w:rPr>
        <w:t>layer in the system architecture, the cloud layer, is</w:t>
      </w:r>
      <w:r w:rsidR="00D40FA8">
        <w:rPr>
          <w:rStyle w:val="fnt0"/>
          <w:rFonts w:cs="Times New Roman"/>
          <w:szCs w:val="24"/>
        </w:rPr>
        <w:t xml:space="preserve"> </w:t>
      </w:r>
      <w:r w:rsidR="001C2F01">
        <w:rPr>
          <w:rStyle w:val="fnt0"/>
          <w:rFonts w:cs="Times New Roman"/>
          <w:szCs w:val="24"/>
        </w:rPr>
        <w:t xml:space="preserve">arguably </w:t>
      </w:r>
      <w:r w:rsidR="00130513">
        <w:rPr>
          <w:rStyle w:val="fnt0"/>
          <w:rFonts w:cs="Times New Roman"/>
          <w:szCs w:val="24"/>
        </w:rPr>
        <w:t xml:space="preserve">the most important.  </w:t>
      </w:r>
      <w:r w:rsidR="001C2F01">
        <w:rPr>
          <w:rStyle w:val="fnt0"/>
          <w:rFonts w:cs="Times New Roman"/>
          <w:szCs w:val="24"/>
        </w:rPr>
        <w:t>The cloud layer</w:t>
      </w:r>
      <w:r w:rsidR="002040D5">
        <w:rPr>
          <w:rStyle w:val="fnt0"/>
          <w:rFonts w:cs="Times New Roman"/>
          <w:szCs w:val="24"/>
        </w:rPr>
        <w:t xml:space="preserve"> comprises three key components: data storage, analytics, and visualizations</w:t>
      </w:r>
      <w:r w:rsidR="00FD7CF9">
        <w:rPr>
          <w:rStyle w:val="fnt0"/>
          <w:rFonts w:cs="Times New Roman"/>
          <w:szCs w:val="24"/>
        </w:rPr>
        <w:t xml:space="preserve">.  </w:t>
      </w:r>
      <w:r w:rsidR="001B1EE1">
        <w:t xml:space="preserve">The primary purpose </w:t>
      </w:r>
      <w:r w:rsidR="00747129">
        <w:t>of</w:t>
      </w:r>
      <w:r w:rsidR="001B1EE1">
        <w:t xml:space="preserve"> the </w:t>
      </w:r>
      <w:r w:rsidR="00747129">
        <w:t>cloud</w:t>
      </w:r>
      <w:r w:rsidR="002F22B3">
        <w:t xml:space="preserve"> layer</w:t>
      </w:r>
      <w:r w:rsidR="00747129">
        <w:t xml:space="preserve"> is storage</w:t>
      </w:r>
      <w:r w:rsidR="000471BF">
        <w:t>, consolidating data from local storage systems</w:t>
      </w:r>
      <w:r w:rsidR="00BC5FB7">
        <w:t xml:space="preserve"> (</w:t>
      </w:r>
      <w:proofErr w:type="spellStart"/>
      <w:r w:rsidR="00BC5FB7">
        <w:t>Clim</w:t>
      </w:r>
      <w:proofErr w:type="spellEnd"/>
      <w:r w:rsidR="00BC5FB7">
        <w:t xml:space="preserve">, </w:t>
      </w:r>
      <w:proofErr w:type="spellStart"/>
      <w:r w:rsidR="00BC5FB7">
        <w:t>Zota</w:t>
      </w:r>
      <w:proofErr w:type="spellEnd"/>
      <w:r w:rsidR="00BC5FB7">
        <w:t xml:space="preserve">, &amp; </w:t>
      </w:r>
      <w:proofErr w:type="spellStart"/>
      <w:r w:rsidR="00BC5FB7">
        <w:t>Tinica</w:t>
      </w:r>
      <w:proofErr w:type="spellEnd"/>
      <w:r w:rsidR="00BC5FB7">
        <w:t>, 2019).</w:t>
      </w:r>
      <w:r w:rsidR="00BC5FB7">
        <w:rPr>
          <w:rStyle w:val="fnt0"/>
          <w:rFonts w:cs="Times New Roman"/>
          <w:szCs w:val="24"/>
        </w:rPr>
        <w:t xml:space="preserve">  </w:t>
      </w:r>
      <w:r w:rsidR="00331765">
        <w:t>This layer</w:t>
      </w:r>
      <w:r w:rsidR="00A210AC">
        <w:t xml:space="preserve"> </w:t>
      </w:r>
      <w:r w:rsidR="00331765">
        <w:t>is</w:t>
      </w:r>
      <w:r w:rsidR="00A210AC">
        <w:t xml:space="preserve"> accessible both by headquarters and </w:t>
      </w:r>
      <w:r w:rsidR="0047605E">
        <w:t>mobile care units alike</w:t>
      </w:r>
      <w:r w:rsidR="003164E3">
        <w:t xml:space="preserve">, providing easy and secure </w:t>
      </w:r>
      <w:r w:rsidR="00BD278A">
        <w:t xml:space="preserve">access to patient </w:t>
      </w:r>
      <w:r w:rsidR="00DE2748">
        <w:t xml:space="preserve">information from </w:t>
      </w:r>
      <w:r w:rsidR="009622B1">
        <w:t>multiple</w:t>
      </w:r>
      <w:r w:rsidR="00DE2748">
        <w:t xml:space="preserve"> </w:t>
      </w:r>
      <w:r w:rsidR="009622B1">
        <w:t>locations</w:t>
      </w:r>
      <w:r w:rsidR="00DE2748">
        <w:t xml:space="preserve">.  </w:t>
      </w:r>
      <w:r w:rsidR="00FD7CF9">
        <w:t>To ensure security, w</w:t>
      </w:r>
      <w:r w:rsidR="006D389A">
        <w:t>e make use of a Virtual Private Network (VPN)</w:t>
      </w:r>
      <w:r w:rsidR="00E823F3">
        <w:t>,</w:t>
      </w:r>
      <w:r w:rsidR="006D389A">
        <w:t xml:space="preserve"> </w:t>
      </w:r>
      <w:r w:rsidR="009622B1">
        <w:t>allowing</w:t>
      </w:r>
      <w:r w:rsidR="00662DD1">
        <w:t xml:space="preserve"> us to mask IP addresses</w:t>
      </w:r>
      <w:r w:rsidR="00164A30">
        <w:t xml:space="preserve"> of </w:t>
      </w:r>
      <w:r w:rsidR="00714E1B">
        <w:t xml:space="preserve">remote </w:t>
      </w:r>
      <w:r w:rsidR="00781AE0">
        <w:t xml:space="preserve">devices by routing traffic through </w:t>
      </w:r>
      <w:r w:rsidR="003A3D89">
        <w:t xml:space="preserve">intermediary </w:t>
      </w:r>
      <w:r w:rsidR="00E823F3">
        <w:t>server</w:t>
      </w:r>
      <w:r w:rsidR="003A3D89">
        <w:t>s</w:t>
      </w:r>
      <w:r w:rsidR="00E823F3">
        <w:t xml:space="preserve">.  </w:t>
      </w:r>
      <w:r w:rsidR="00121433">
        <w:t>All traffic flowing through a VPN is encrypted (Writer, 2018).</w:t>
      </w:r>
      <w:r w:rsidR="000F4E88">
        <w:t xml:space="preserve">  </w:t>
      </w:r>
      <w:r w:rsidR="00B43F38">
        <w:t>Furthermore</w:t>
      </w:r>
      <w:r w:rsidR="000F4E88">
        <w:t xml:space="preserve">, Kruse et al. (as cited in </w:t>
      </w:r>
      <w:r w:rsidR="000F4E88" w:rsidRPr="003B7879">
        <w:t>Ravi &amp; Nair, 2019</w:t>
      </w:r>
      <w:r w:rsidR="000F4E88">
        <w:t xml:space="preserve">), lists cloud computing with data protection and hardware redundancy as one of the most common strategies for preventing cyber attacks.  </w:t>
      </w:r>
    </w:p>
    <w:p w14:paraId="45371648" w14:textId="05764320" w:rsidR="00BA08DB" w:rsidRPr="00BA08DB" w:rsidRDefault="00BA08DB" w:rsidP="00DE465E">
      <w:pPr>
        <w:spacing w:after="0" w:line="480" w:lineRule="auto"/>
        <w:ind w:firstLine="720"/>
        <w:rPr>
          <w:b/>
          <w:bCs/>
        </w:rPr>
      </w:pPr>
      <w:r>
        <w:rPr>
          <w:b/>
          <w:bCs/>
        </w:rPr>
        <w:t>Multi-tiered architecture.</w:t>
      </w:r>
    </w:p>
    <w:p w14:paraId="1647A341" w14:textId="0934CD9E" w:rsidR="009B4432" w:rsidRDefault="00B43F38" w:rsidP="00D13385">
      <w:pPr>
        <w:spacing w:after="0" w:line="480" w:lineRule="auto"/>
        <w:ind w:firstLine="720"/>
      </w:pPr>
      <w:r>
        <w:t>W</w:t>
      </w:r>
      <w:r w:rsidR="005B65A6">
        <w:t xml:space="preserve">e </w:t>
      </w:r>
      <w:r w:rsidR="00B206C7">
        <w:t xml:space="preserve">further protect patient privacy and </w:t>
      </w:r>
      <w:r w:rsidR="00563DFC">
        <w:t xml:space="preserve">ubiquitous data access in the cloud platform by </w:t>
      </w:r>
      <w:r w:rsidR="001013CF">
        <w:t xml:space="preserve">using multi-tenant data storage.  </w:t>
      </w:r>
      <w:r w:rsidR="00E370CF">
        <w:t>Multi-tenant storage</w:t>
      </w:r>
      <w:r w:rsidR="009669B0">
        <w:t xml:space="preserve"> enhances </w:t>
      </w:r>
      <w:r w:rsidR="00205492">
        <w:t>data security by</w:t>
      </w:r>
      <w:r w:rsidR="009669B0">
        <w:t xml:space="preserve"> isolating data</w:t>
      </w:r>
      <w:r w:rsidR="00205492">
        <w:t>.  A</w:t>
      </w:r>
      <w:r w:rsidR="007C583F">
        <w:t xml:space="preserve">n isolated database </w:t>
      </w:r>
      <w:r w:rsidR="00205492">
        <w:t>offers</w:t>
      </w:r>
      <w:r w:rsidR="007C583F">
        <w:t xml:space="preserve"> the highest security</w:t>
      </w:r>
      <w:r w:rsidR="007C0430">
        <w:t>,</w:t>
      </w:r>
      <w:r w:rsidR="007C583F">
        <w:t xml:space="preserve"> and </w:t>
      </w:r>
      <w:r w:rsidR="00186B0F">
        <w:t xml:space="preserve">a shared database with isolated data </w:t>
      </w:r>
      <w:r w:rsidR="00205492">
        <w:t>tables</w:t>
      </w:r>
      <w:r w:rsidR="00186B0F">
        <w:t xml:space="preserve"> </w:t>
      </w:r>
      <w:r w:rsidR="007C0430">
        <w:t xml:space="preserve">offers a </w:t>
      </w:r>
      <w:r w:rsidR="00205492">
        <w:t>compromise</w:t>
      </w:r>
      <w:r w:rsidR="00F14A90">
        <w:t xml:space="preserve"> between data security and access</w:t>
      </w:r>
      <w:r w:rsidR="00D13385">
        <w:t xml:space="preserve">.  </w:t>
      </w:r>
      <w:r w:rsidR="009B4432">
        <w:t xml:space="preserve">Our </w:t>
      </w:r>
      <w:r w:rsidR="00206458">
        <w:t xml:space="preserve">multi-tenant </w:t>
      </w:r>
      <w:r w:rsidR="009B4432">
        <w:t xml:space="preserve">cloud architecture </w:t>
      </w:r>
      <w:r w:rsidR="00205492">
        <w:t>utilizes</w:t>
      </w:r>
      <w:r w:rsidR="009B4432">
        <w:t xml:space="preserve"> a </w:t>
      </w:r>
      <w:r w:rsidR="004F2E99">
        <w:t>two-</w:t>
      </w:r>
      <w:r w:rsidR="00B128C3">
        <w:t xml:space="preserve">level </w:t>
      </w:r>
      <w:r w:rsidR="00205492">
        <w:t>infrastructure</w:t>
      </w:r>
      <w:r w:rsidR="00156E6B">
        <w:t xml:space="preserve">.  </w:t>
      </w:r>
      <w:r w:rsidR="00786582">
        <w:t xml:space="preserve">The first level comprises </w:t>
      </w:r>
      <w:r w:rsidR="003D61DC">
        <w:t>healthcare providers</w:t>
      </w:r>
      <w:r w:rsidR="00682FFC">
        <w:t xml:space="preserve">.  </w:t>
      </w:r>
      <w:r w:rsidR="00FD2755">
        <w:t xml:space="preserve">Each tenant at </w:t>
      </w:r>
      <w:r w:rsidR="00FD2755">
        <w:lastRenderedPageBreak/>
        <w:t xml:space="preserve">this level belongs to a specific healthcare </w:t>
      </w:r>
      <w:r w:rsidR="00205492">
        <w:t>provider</w:t>
      </w:r>
      <w:r w:rsidR="00FD2755">
        <w:t xml:space="preserve">.  </w:t>
      </w:r>
      <w:r w:rsidR="00195C73">
        <w:t xml:space="preserve">We use </w:t>
      </w:r>
      <w:r w:rsidR="00026ADA">
        <w:t xml:space="preserve">an </w:t>
      </w:r>
      <w:r w:rsidR="00195C73">
        <w:t xml:space="preserve">isolated database </w:t>
      </w:r>
      <w:r w:rsidR="00026ADA">
        <w:t>to</w:t>
      </w:r>
      <w:r w:rsidR="00E15DF3">
        <w:t xml:space="preserve"> </w:t>
      </w:r>
      <w:r w:rsidR="00205492">
        <w:t>secure</w:t>
      </w:r>
      <w:r w:rsidR="00E15DF3">
        <w:t xml:space="preserve"> healthcare</w:t>
      </w:r>
      <w:r w:rsidR="00205492">
        <w:t xml:space="preserve"> data </w:t>
      </w:r>
      <w:r w:rsidR="00B53DFA">
        <w:t>between</w:t>
      </w:r>
      <w:r w:rsidR="00E15DF3">
        <w:t xml:space="preserve"> agencies</w:t>
      </w:r>
      <w:r w:rsidR="00B53DFA">
        <w:t>,</w:t>
      </w:r>
      <w:r w:rsidR="008E7096">
        <w:t xml:space="preserve"> provid</w:t>
      </w:r>
      <w:r w:rsidR="00D43DC5">
        <w:t>ing</w:t>
      </w:r>
      <w:r w:rsidR="008E7096">
        <w:t xml:space="preserve"> secure access</w:t>
      </w:r>
      <w:r w:rsidR="00E0556D">
        <w:t xml:space="preserve"> for </w:t>
      </w:r>
      <w:r w:rsidR="00D43DC5">
        <w:t>authorized</w:t>
      </w:r>
      <w:r w:rsidR="00E0556D">
        <w:t xml:space="preserve"> users.  In the second </w:t>
      </w:r>
      <w:r w:rsidR="00D3272A">
        <w:t>level</w:t>
      </w:r>
      <w:r w:rsidR="007E47A7">
        <w:t xml:space="preserve"> of the multi-tenant cloud architecture, </w:t>
      </w:r>
      <w:r w:rsidR="00FF371D">
        <w:t xml:space="preserve">we use </w:t>
      </w:r>
      <w:r w:rsidR="005A18E4">
        <w:t xml:space="preserve">shared </w:t>
      </w:r>
      <w:r w:rsidR="00AD5CA0">
        <w:t xml:space="preserve">tables to store data </w:t>
      </w:r>
      <w:r w:rsidR="008C58D5">
        <w:t>linked to individual patients</w:t>
      </w:r>
      <w:r w:rsidR="00D43DC5">
        <w:t xml:space="preserve">.  </w:t>
      </w:r>
      <w:r w:rsidR="00941593">
        <w:t xml:space="preserve">This architecture </w:t>
      </w:r>
      <w:r w:rsidR="00F966AA">
        <w:t>allow</w:t>
      </w:r>
      <w:r w:rsidR="00941593">
        <w:t>s</w:t>
      </w:r>
      <w:r w:rsidR="00F966AA">
        <w:t xml:space="preserve"> for </w:t>
      </w:r>
      <w:r w:rsidR="00967B68">
        <w:t xml:space="preserve">quicker </w:t>
      </w:r>
      <w:r w:rsidR="00DA10FE">
        <w:t>access</w:t>
      </w:r>
      <w:r w:rsidR="00D3129A">
        <w:t xml:space="preserve"> by </w:t>
      </w:r>
      <w:r w:rsidR="00D13385">
        <w:t>authorized personnel</w:t>
      </w:r>
      <w:r w:rsidR="008D76C9">
        <w:t xml:space="preserve"> (Xu et al., 2017)</w:t>
      </w:r>
      <w:r w:rsidR="00D13385">
        <w:t>.</w:t>
      </w:r>
      <w:r w:rsidR="004D575A">
        <w:t xml:space="preserve">  </w:t>
      </w:r>
      <w:r w:rsidR="00D14A68">
        <w:t xml:space="preserve">Corporate headquarters has </w:t>
      </w:r>
      <w:r w:rsidR="00331765">
        <w:t>access to all consolidated data</w:t>
      </w:r>
      <w:r w:rsidR="00D31A06">
        <w:t>bases</w:t>
      </w:r>
      <w:r w:rsidR="00331765">
        <w:t xml:space="preserve"> in the cloud.</w:t>
      </w:r>
      <w:r w:rsidR="002D34A9">
        <w:t xml:space="preserve">  </w:t>
      </w:r>
    </w:p>
    <w:p w14:paraId="0C7B9D78" w14:textId="40863BF4" w:rsidR="007011AD" w:rsidRPr="007011AD" w:rsidRDefault="007011AD" w:rsidP="007011AD">
      <w:pPr>
        <w:spacing w:after="0" w:line="480" w:lineRule="auto"/>
        <w:rPr>
          <w:b/>
          <w:bCs/>
        </w:rPr>
      </w:pPr>
      <w:r w:rsidRPr="007011AD">
        <w:rPr>
          <w:b/>
          <w:bCs/>
        </w:rPr>
        <w:t>Analytic Capabilities</w:t>
      </w:r>
    </w:p>
    <w:p w14:paraId="0EAAE801" w14:textId="19AF779C" w:rsidR="00E778FE" w:rsidRDefault="00E76558" w:rsidP="00D13385">
      <w:pPr>
        <w:spacing w:after="0" w:line="480" w:lineRule="auto"/>
        <w:ind w:firstLine="720"/>
      </w:pPr>
      <w:r>
        <w:t xml:space="preserve">The analytical capabilities of this </w:t>
      </w:r>
      <w:r w:rsidR="00AA616F">
        <w:t xml:space="preserve">single-solution BI framework </w:t>
      </w:r>
      <w:r w:rsidR="002C657B">
        <w:t xml:space="preserve">are immense.  </w:t>
      </w:r>
      <w:r w:rsidR="004E3B45">
        <w:t xml:space="preserve">We can deploy </w:t>
      </w:r>
      <w:r w:rsidR="00B87963">
        <w:t xml:space="preserve">machine learning algorithms </w:t>
      </w:r>
      <w:r w:rsidR="001053DE">
        <w:t xml:space="preserve">to </w:t>
      </w:r>
      <w:r w:rsidR="000F6EC2">
        <w:t xml:space="preserve">enhance treatment </w:t>
      </w:r>
      <w:proofErr w:type="spellStart"/>
      <w:r w:rsidR="000F6EC2">
        <w:t>personalization</w:t>
      </w:r>
      <w:r w:rsidR="001969F4">
        <w:t>s</w:t>
      </w:r>
      <w:proofErr w:type="spellEnd"/>
      <w:r w:rsidR="000F6EC2">
        <w:t xml:space="preserve">, </w:t>
      </w:r>
      <w:r w:rsidR="00CB0291">
        <w:t xml:space="preserve">enable early </w:t>
      </w:r>
      <w:r w:rsidR="004F5138">
        <w:t>detections</w:t>
      </w:r>
      <w:r w:rsidR="00CB0291">
        <w:t xml:space="preserve"> of diseases</w:t>
      </w:r>
      <w:r w:rsidR="00DC41E1">
        <w:t xml:space="preserve">, </w:t>
      </w:r>
      <w:r w:rsidR="00CB0291">
        <w:t>and reduce healthcare costs</w:t>
      </w:r>
      <w:r w:rsidR="00DA1977">
        <w:t xml:space="preserve"> (</w:t>
      </w:r>
      <w:proofErr w:type="spellStart"/>
      <w:r w:rsidR="00DA1977">
        <w:t>Clim</w:t>
      </w:r>
      <w:proofErr w:type="spellEnd"/>
      <w:r w:rsidR="00DA1977">
        <w:t xml:space="preserve"> et al., 2019)</w:t>
      </w:r>
      <w:r w:rsidR="001A1B1F">
        <w:t xml:space="preserve">.  </w:t>
      </w:r>
      <w:r w:rsidR="00271980">
        <w:t xml:space="preserve">We can </w:t>
      </w:r>
      <w:r w:rsidR="00B318D3">
        <w:t xml:space="preserve">examine </w:t>
      </w:r>
      <w:r w:rsidR="00F53FB6">
        <w:t xml:space="preserve">patients </w:t>
      </w:r>
      <w:r w:rsidR="00930B68">
        <w:t>exhibiting similar symptoms</w:t>
      </w:r>
      <w:r w:rsidR="00271980">
        <w:t xml:space="preserve"> to improve </w:t>
      </w:r>
      <w:r w:rsidR="004F5138">
        <w:t>diagnostic</w:t>
      </w:r>
      <w:r w:rsidR="00271980">
        <w:t xml:space="preserve"> </w:t>
      </w:r>
      <w:r w:rsidR="004F5138">
        <w:t>accuracies</w:t>
      </w:r>
      <w:r w:rsidR="006F2248">
        <w:t xml:space="preserve"> and obtain </w:t>
      </w:r>
      <w:r w:rsidR="00930B68">
        <w:t>treatment plans from historical examples</w:t>
      </w:r>
      <w:r w:rsidR="008F7834">
        <w:t xml:space="preserve"> </w:t>
      </w:r>
      <w:r w:rsidR="008F7834" w:rsidRPr="008F7834">
        <w:t xml:space="preserve">(Xu et al., 2017).  </w:t>
      </w:r>
      <w:r w:rsidR="00930B68">
        <w:t>By collecting</w:t>
      </w:r>
      <w:r w:rsidR="004F5138">
        <w:t xml:space="preserve"> and analyzing</w:t>
      </w:r>
      <w:r w:rsidR="00930B68">
        <w:t xml:space="preserve"> patient</w:t>
      </w:r>
      <w:r w:rsidR="0085492F">
        <w:t xml:space="preserve"> data</w:t>
      </w:r>
      <w:r w:rsidR="004F5138">
        <w:t xml:space="preserve"> in real-time</w:t>
      </w:r>
      <w:r w:rsidR="00C93D4A">
        <w:t>,</w:t>
      </w:r>
      <w:r w:rsidR="0085492F">
        <w:t xml:space="preserve"> we can send emergency medical services when needed </w:t>
      </w:r>
      <w:r w:rsidR="00C93D4A">
        <w:t>in</w:t>
      </w:r>
      <w:r w:rsidR="004F5138">
        <w:t xml:space="preserve"> </w:t>
      </w:r>
      <w:r w:rsidR="00C93D4A">
        <w:t xml:space="preserve">cases of heart attacks or seizures.  </w:t>
      </w:r>
      <w:r w:rsidR="004F5138">
        <w:t>W</w:t>
      </w:r>
      <w:r w:rsidR="006F6775">
        <w:t>e can</w:t>
      </w:r>
      <w:r w:rsidR="004F5138">
        <w:t xml:space="preserve"> then</w:t>
      </w:r>
      <w:r w:rsidR="006F6775">
        <w:t xml:space="preserve"> send th</w:t>
      </w:r>
      <w:r w:rsidR="004F5138">
        <w:t>is data</w:t>
      </w:r>
      <w:r w:rsidR="00C408F7">
        <w:t xml:space="preserve"> to</w:t>
      </w:r>
      <w:r w:rsidR="00E14EB1">
        <w:t xml:space="preserve"> deep learning module</w:t>
      </w:r>
      <w:r w:rsidR="003411CA">
        <w:t>s in the cloud</w:t>
      </w:r>
      <w:r w:rsidR="00397385">
        <w:t>,</w:t>
      </w:r>
      <w:r w:rsidR="00D47C94">
        <w:t xml:space="preserve"> </w:t>
      </w:r>
      <w:r w:rsidR="00397385">
        <w:t xml:space="preserve">where </w:t>
      </w:r>
      <w:r w:rsidR="00386111">
        <w:t>health professional</w:t>
      </w:r>
      <w:r w:rsidR="00906EED">
        <w:t>s</w:t>
      </w:r>
      <w:r w:rsidR="00386111">
        <w:t xml:space="preserve"> </w:t>
      </w:r>
      <w:r w:rsidR="00F42E3B">
        <w:t>will</w:t>
      </w:r>
      <w:r w:rsidR="00E8447F">
        <w:t xml:space="preserve"> view </w:t>
      </w:r>
      <w:r w:rsidR="00EF20A5">
        <w:t>the</w:t>
      </w:r>
      <w:r w:rsidR="006F6775">
        <w:t xml:space="preserve"> </w:t>
      </w:r>
      <w:r w:rsidR="00E8447F">
        <w:t xml:space="preserve">results </w:t>
      </w:r>
      <w:r w:rsidR="004C5A24">
        <w:t xml:space="preserve">via web-based applications </w:t>
      </w:r>
      <w:r w:rsidR="00E8447F">
        <w:t xml:space="preserve">to make decisions </w:t>
      </w:r>
      <w:r w:rsidR="00677FEB">
        <w:t>more cost-effectively</w:t>
      </w:r>
      <w:r w:rsidR="00533CA5">
        <w:t xml:space="preserve"> </w:t>
      </w:r>
      <w:r w:rsidR="009E3775">
        <w:t>(</w:t>
      </w:r>
      <w:proofErr w:type="spellStart"/>
      <w:r w:rsidR="009E3775">
        <w:t>Alhussein</w:t>
      </w:r>
      <w:proofErr w:type="spellEnd"/>
      <w:r w:rsidR="009E3775">
        <w:t xml:space="preserve"> et al., 2018).  </w:t>
      </w:r>
      <w:r w:rsidR="000B0E23">
        <w:t>As we see</w:t>
      </w:r>
      <w:r w:rsidR="00E41B11">
        <w:t>,</w:t>
      </w:r>
      <w:r w:rsidR="000B0E23">
        <w:t xml:space="preserve"> this </w:t>
      </w:r>
      <w:r w:rsidR="006C3622">
        <w:t xml:space="preserve">single-solution </w:t>
      </w:r>
      <w:r w:rsidR="003061C2">
        <w:t>BI</w:t>
      </w:r>
      <w:r w:rsidR="006C3622">
        <w:t xml:space="preserve"> framework offers a</w:t>
      </w:r>
      <w:r w:rsidR="00360B16">
        <w:t>n easy and secure way to transfer data between</w:t>
      </w:r>
      <w:r w:rsidR="00F76870">
        <w:t xml:space="preserve"> sensors, mobile units, </w:t>
      </w:r>
      <w:r w:rsidR="004B6E0E">
        <w:t>hospitals</w:t>
      </w:r>
      <w:r w:rsidR="008B75F9">
        <w:t>, and corporate offices</w:t>
      </w:r>
      <w:r w:rsidR="002B1492">
        <w:t xml:space="preserve"> utilizing </w:t>
      </w:r>
      <w:r w:rsidR="00B9672F">
        <w:t>a</w:t>
      </w:r>
      <w:r w:rsidR="002B1492">
        <w:t xml:space="preserve">n </w:t>
      </w:r>
      <w:r w:rsidR="0034058F">
        <w:t xml:space="preserve">IoT event-based architecture </w:t>
      </w:r>
      <w:r w:rsidR="00582EB6">
        <w:t xml:space="preserve">comprising </w:t>
      </w:r>
      <w:r w:rsidR="009E5811">
        <w:t xml:space="preserve">a </w:t>
      </w:r>
      <w:r w:rsidR="00582EB6">
        <w:t>three</w:t>
      </w:r>
      <w:r w:rsidR="00396FD0">
        <w:t>-</w:t>
      </w:r>
      <w:r w:rsidR="00533CA5">
        <w:t>layered approach:</w:t>
      </w:r>
      <w:r w:rsidR="00582EB6">
        <w:t xml:space="preserve"> a device layer, a fog layer, and </w:t>
      </w:r>
      <w:r w:rsidR="00E41B11">
        <w:t xml:space="preserve">a cloud layer.  </w:t>
      </w:r>
    </w:p>
    <w:bookmarkEnd w:id="0"/>
    <w:p w14:paraId="3C9E8783" w14:textId="4AD69508" w:rsidR="00A77BE4" w:rsidRDefault="003F400F" w:rsidP="00A77BE4">
      <w:pPr>
        <w:spacing w:after="0" w:line="480" w:lineRule="auto"/>
      </w:pPr>
      <w:r>
        <w:rPr>
          <w:noProof/>
        </w:rPr>
        <w:lastRenderedPageBreak/>
        <w:drawing>
          <wp:inline distT="0" distB="0" distL="0" distR="0" wp14:anchorId="252024FB" wp14:editId="26BA446B">
            <wp:extent cx="6535927" cy="39282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724" cy="394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FDB4" w14:textId="42195FB3" w:rsidR="00A77BE4" w:rsidRDefault="00ED06B2" w:rsidP="00ED06B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Single-solution healthcare BI ecosystem w/ device, fog, and cloud layers</w:t>
      </w:r>
    </w:p>
    <w:p w14:paraId="2035094F" w14:textId="1ED293E2" w:rsidR="003A6992" w:rsidRDefault="003A6992" w:rsidP="003A6992">
      <w:pPr>
        <w:spacing w:after="0" w:line="480" w:lineRule="auto"/>
        <w:jc w:val="center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t xml:space="preserve">Part B: </w:t>
      </w:r>
      <w:r w:rsidR="003C4D25">
        <w:rPr>
          <w:rStyle w:val="fnt0"/>
          <w:rFonts w:cs="Times New Roman"/>
          <w:b/>
          <w:szCs w:val="24"/>
        </w:rPr>
        <w:t xml:space="preserve">SAS </w:t>
      </w:r>
      <w:r w:rsidR="00392C73">
        <w:rPr>
          <w:rStyle w:val="fnt0"/>
          <w:rFonts w:cs="Times New Roman"/>
          <w:b/>
          <w:szCs w:val="24"/>
        </w:rPr>
        <w:t xml:space="preserve">Code </w:t>
      </w:r>
      <w:r w:rsidR="009C26D2">
        <w:rPr>
          <w:rStyle w:val="fnt0"/>
          <w:rFonts w:cs="Times New Roman"/>
          <w:b/>
          <w:szCs w:val="24"/>
        </w:rPr>
        <w:t>for</w:t>
      </w:r>
      <w:r w:rsidR="00392C73">
        <w:rPr>
          <w:rStyle w:val="fnt0"/>
          <w:rFonts w:cs="Times New Roman"/>
          <w:b/>
          <w:szCs w:val="24"/>
        </w:rPr>
        <w:t xml:space="preserve"> Statistical Analysis Test</w:t>
      </w:r>
    </w:p>
    <w:p w14:paraId="5B9294CC" w14:textId="6E00E8BE" w:rsidR="006F6EBF" w:rsidRPr="00AB13E6" w:rsidRDefault="00E844E2" w:rsidP="00314FD0">
      <w:pPr>
        <w:spacing w:after="0" w:line="480" w:lineRule="auto"/>
        <w:rPr>
          <w:rStyle w:val="fnt0"/>
          <w:rFonts w:cs="Times New Roman"/>
          <w:bCs/>
          <w:szCs w:val="24"/>
        </w:rPr>
      </w:pPr>
      <w:r>
        <w:rPr>
          <w:rStyle w:val="fnt0"/>
          <w:rFonts w:cs="Times New Roman"/>
          <w:b/>
          <w:szCs w:val="24"/>
        </w:rPr>
        <w:tab/>
      </w:r>
      <w:r w:rsidR="00AB13E6">
        <w:rPr>
          <w:rStyle w:val="fnt0"/>
          <w:rFonts w:cs="Times New Roman"/>
          <w:bCs/>
          <w:szCs w:val="24"/>
        </w:rPr>
        <w:t xml:space="preserve">The following code demonstrates a </w:t>
      </w:r>
      <w:r w:rsidR="00B948F2">
        <w:rPr>
          <w:rStyle w:val="fnt0"/>
          <w:rFonts w:cs="Times New Roman"/>
          <w:bCs/>
          <w:szCs w:val="24"/>
        </w:rPr>
        <w:t>two-sample t-Test</w:t>
      </w:r>
      <w:r w:rsidR="00313055">
        <w:rPr>
          <w:rStyle w:val="fnt0"/>
          <w:rFonts w:cs="Times New Roman"/>
          <w:bCs/>
          <w:szCs w:val="24"/>
        </w:rPr>
        <w:t xml:space="preserve"> using SAS</w:t>
      </w:r>
      <w:r w:rsidR="00B948F2">
        <w:rPr>
          <w:rStyle w:val="fnt0"/>
          <w:rFonts w:cs="Times New Roman"/>
          <w:bCs/>
          <w:szCs w:val="24"/>
        </w:rPr>
        <w:t xml:space="preserve">.  </w:t>
      </w:r>
      <w:r w:rsidR="00EA52FA">
        <w:rPr>
          <w:rStyle w:val="fnt0"/>
          <w:rFonts w:cs="Times New Roman"/>
          <w:bCs/>
          <w:szCs w:val="24"/>
        </w:rPr>
        <w:t xml:space="preserve">The </w:t>
      </w:r>
      <w:r w:rsidR="00313055">
        <w:rPr>
          <w:rStyle w:val="fnt0"/>
          <w:rFonts w:cs="Times New Roman"/>
          <w:bCs/>
          <w:szCs w:val="24"/>
        </w:rPr>
        <w:t xml:space="preserve">example </w:t>
      </w:r>
      <w:r w:rsidR="00EA52FA">
        <w:rPr>
          <w:rStyle w:val="fnt0"/>
          <w:rFonts w:cs="Times New Roman"/>
          <w:bCs/>
          <w:szCs w:val="24"/>
        </w:rPr>
        <w:t xml:space="preserve">dataset contains </w:t>
      </w:r>
      <w:r w:rsidR="00911244">
        <w:rPr>
          <w:rStyle w:val="fnt0"/>
          <w:rFonts w:cs="Times New Roman"/>
          <w:bCs/>
          <w:szCs w:val="24"/>
        </w:rPr>
        <w:t xml:space="preserve">200 </w:t>
      </w:r>
      <w:r w:rsidR="00287498">
        <w:rPr>
          <w:rStyle w:val="fnt0"/>
          <w:rFonts w:cs="Times New Roman"/>
          <w:bCs/>
          <w:szCs w:val="24"/>
        </w:rPr>
        <w:t>test scores from</w:t>
      </w:r>
      <w:r w:rsidR="002A738A">
        <w:rPr>
          <w:rStyle w:val="fnt0"/>
          <w:rFonts w:cs="Times New Roman"/>
          <w:bCs/>
          <w:szCs w:val="24"/>
        </w:rPr>
        <w:t xml:space="preserve"> 91</w:t>
      </w:r>
      <w:r w:rsidR="00287498">
        <w:rPr>
          <w:rStyle w:val="fnt0"/>
          <w:rFonts w:cs="Times New Roman"/>
          <w:bCs/>
          <w:szCs w:val="24"/>
        </w:rPr>
        <w:t xml:space="preserve"> males </w:t>
      </w:r>
      <w:r w:rsidR="00313055">
        <w:rPr>
          <w:rStyle w:val="fnt0"/>
          <w:rFonts w:cs="Times New Roman"/>
          <w:bCs/>
          <w:szCs w:val="24"/>
        </w:rPr>
        <w:t>and</w:t>
      </w:r>
      <w:r w:rsidR="002A738A">
        <w:rPr>
          <w:rStyle w:val="fnt0"/>
          <w:rFonts w:cs="Times New Roman"/>
          <w:bCs/>
          <w:szCs w:val="24"/>
        </w:rPr>
        <w:t xml:space="preserve"> 109</w:t>
      </w:r>
      <w:r w:rsidR="00287498">
        <w:rPr>
          <w:rStyle w:val="fnt0"/>
          <w:rFonts w:cs="Times New Roman"/>
          <w:bCs/>
          <w:szCs w:val="24"/>
        </w:rPr>
        <w:t xml:space="preserve"> females in five different subjects</w:t>
      </w:r>
      <w:r w:rsidR="00D27AA1">
        <w:rPr>
          <w:rStyle w:val="fnt0"/>
          <w:rFonts w:cs="Times New Roman"/>
          <w:bCs/>
          <w:szCs w:val="24"/>
        </w:rPr>
        <w:t>,</w:t>
      </w:r>
      <w:r w:rsidR="00287498">
        <w:rPr>
          <w:rStyle w:val="fnt0"/>
          <w:rFonts w:cs="Times New Roman"/>
          <w:bCs/>
          <w:szCs w:val="24"/>
        </w:rPr>
        <w:t xml:space="preserve"> including </w:t>
      </w:r>
      <w:r w:rsidR="00C3117A">
        <w:rPr>
          <w:rStyle w:val="fnt0"/>
          <w:rFonts w:cs="Times New Roman"/>
          <w:bCs/>
          <w:szCs w:val="24"/>
        </w:rPr>
        <w:t>s</w:t>
      </w:r>
      <w:r w:rsidR="00287498">
        <w:rPr>
          <w:rStyle w:val="fnt0"/>
          <w:rFonts w:cs="Times New Roman"/>
          <w:bCs/>
          <w:szCs w:val="24"/>
        </w:rPr>
        <w:t xml:space="preserve">ocial </w:t>
      </w:r>
      <w:r w:rsidR="00C3117A">
        <w:rPr>
          <w:rStyle w:val="fnt0"/>
          <w:rFonts w:cs="Times New Roman"/>
          <w:bCs/>
          <w:szCs w:val="24"/>
        </w:rPr>
        <w:t>s</w:t>
      </w:r>
      <w:r w:rsidR="00287498">
        <w:rPr>
          <w:rStyle w:val="fnt0"/>
          <w:rFonts w:cs="Times New Roman"/>
          <w:bCs/>
          <w:szCs w:val="24"/>
        </w:rPr>
        <w:t xml:space="preserve">tudies, </w:t>
      </w:r>
      <w:r w:rsidR="00C3117A">
        <w:rPr>
          <w:rStyle w:val="fnt0"/>
          <w:rFonts w:cs="Times New Roman"/>
          <w:bCs/>
          <w:szCs w:val="24"/>
        </w:rPr>
        <w:t>s</w:t>
      </w:r>
      <w:r w:rsidR="00F875D5">
        <w:rPr>
          <w:rStyle w:val="fnt0"/>
          <w:rFonts w:cs="Times New Roman"/>
          <w:bCs/>
          <w:szCs w:val="24"/>
        </w:rPr>
        <w:t xml:space="preserve">cience, </w:t>
      </w:r>
      <w:r w:rsidR="00C3117A">
        <w:rPr>
          <w:rStyle w:val="fnt0"/>
          <w:rFonts w:cs="Times New Roman"/>
          <w:bCs/>
          <w:szCs w:val="24"/>
        </w:rPr>
        <w:t>m</w:t>
      </w:r>
      <w:r w:rsidR="00F875D5">
        <w:rPr>
          <w:rStyle w:val="fnt0"/>
          <w:rFonts w:cs="Times New Roman"/>
          <w:bCs/>
          <w:szCs w:val="24"/>
        </w:rPr>
        <w:t xml:space="preserve">ath, </w:t>
      </w:r>
      <w:r w:rsidR="00EE421E">
        <w:rPr>
          <w:rStyle w:val="fnt0"/>
          <w:rFonts w:cs="Times New Roman"/>
          <w:bCs/>
          <w:szCs w:val="24"/>
        </w:rPr>
        <w:t>reading, and writing.</w:t>
      </w:r>
      <w:r w:rsidR="002A738A">
        <w:rPr>
          <w:rStyle w:val="fnt0"/>
          <w:rFonts w:cs="Times New Roman"/>
          <w:bCs/>
          <w:szCs w:val="24"/>
        </w:rPr>
        <w:t xml:space="preserve">  </w:t>
      </w:r>
      <w:r w:rsidR="0008430B">
        <w:rPr>
          <w:rStyle w:val="fnt0"/>
          <w:rFonts w:cs="Times New Roman"/>
          <w:bCs/>
          <w:szCs w:val="24"/>
        </w:rPr>
        <w:t>An analysis of the results shows that only</w:t>
      </w:r>
      <w:r w:rsidR="00A70714">
        <w:rPr>
          <w:rStyle w:val="fnt0"/>
          <w:rFonts w:cs="Times New Roman"/>
          <w:bCs/>
          <w:szCs w:val="24"/>
        </w:rPr>
        <w:t xml:space="preserve"> the writing test scores </w:t>
      </w:r>
      <w:r w:rsidR="00795623">
        <w:rPr>
          <w:rStyle w:val="fnt0"/>
          <w:rFonts w:cs="Times New Roman"/>
          <w:bCs/>
          <w:szCs w:val="24"/>
        </w:rPr>
        <w:t>demonstrated statistical significance</w:t>
      </w:r>
      <w:r w:rsidR="004A7B53">
        <w:rPr>
          <w:rStyle w:val="fnt0"/>
          <w:rFonts w:cs="Times New Roman"/>
          <w:bCs/>
          <w:szCs w:val="24"/>
        </w:rPr>
        <w:t xml:space="preserve"> between groups</w:t>
      </w:r>
      <w:r w:rsidR="002C6D77">
        <w:rPr>
          <w:rStyle w:val="fnt0"/>
          <w:rFonts w:cs="Times New Roman"/>
          <w:bCs/>
          <w:szCs w:val="24"/>
        </w:rPr>
        <w:t xml:space="preserve">.  </w:t>
      </w:r>
      <w:r w:rsidR="002D374B">
        <w:rPr>
          <w:rStyle w:val="fnt0"/>
          <w:rFonts w:cs="Times New Roman"/>
          <w:bCs/>
          <w:szCs w:val="24"/>
        </w:rPr>
        <w:t xml:space="preserve">Females </w:t>
      </w:r>
      <w:r w:rsidR="0041393E">
        <w:rPr>
          <w:rStyle w:val="fnt0"/>
          <w:rFonts w:cs="Times New Roman"/>
          <w:bCs/>
          <w:szCs w:val="24"/>
        </w:rPr>
        <w:t>received</w:t>
      </w:r>
      <w:r w:rsidR="00A743C5">
        <w:rPr>
          <w:rStyle w:val="fnt0"/>
          <w:rFonts w:cs="Times New Roman"/>
          <w:bCs/>
          <w:szCs w:val="24"/>
        </w:rPr>
        <w:t xml:space="preserve"> significantly higher </w:t>
      </w:r>
      <w:r w:rsidR="0041393E">
        <w:rPr>
          <w:rStyle w:val="fnt0"/>
          <w:rFonts w:cs="Times New Roman"/>
          <w:bCs/>
          <w:szCs w:val="24"/>
        </w:rPr>
        <w:t>test scores than males</w:t>
      </w:r>
      <w:r w:rsidR="00F85792">
        <w:rPr>
          <w:rStyle w:val="fnt0"/>
          <w:rFonts w:cs="Times New Roman"/>
          <w:bCs/>
          <w:szCs w:val="24"/>
        </w:rPr>
        <w:t xml:space="preserve"> </w:t>
      </w:r>
      <w:r w:rsidR="007B7A13">
        <w:rPr>
          <w:rStyle w:val="fnt0"/>
          <w:rFonts w:cs="Times New Roman"/>
          <w:bCs/>
          <w:szCs w:val="24"/>
        </w:rPr>
        <w:t>in writing</w:t>
      </w:r>
      <w:r w:rsidR="0041393E">
        <w:rPr>
          <w:rStyle w:val="fnt0"/>
          <w:rFonts w:cs="Times New Roman"/>
          <w:bCs/>
          <w:szCs w:val="24"/>
        </w:rPr>
        <w:t>.</w:t>
      </w:r>
      <w:r w:rsidR="00A743C5">
        <w:rPr>
          <w:rStyle w:val="fnt0"/>
          <w:rFonts w:cs="Times New Roman"/>
          <w:bCs/>
          <w:szCs w:val="24"/>
        </w:rPr>
        <w:t xml:space="preserve"> </w:t>
      </w:r>
      <w:r w:rsidR="00BB7554">
        <w:rPr>
          <w:rStyle w:val="fnt0"/>
          <w:rFonts w:cs="Times New Roman"/>
          <w:bCs/>
          <w:szCs w:val="24"/>
        </w:rPr>
        <w:t xml:space="preserve"> </w:t>
      </w:r>
      <w:r w:rsidR="008B7A0C">
        <w:rPr>
          <w:rStyle w:val="fnt0"/>
          <w:rFonts w:cs="Times New Roman"/>
          <w:bCs/>
          <w:szCs w:val="24"/>
        </w:rPr>
        <w:t xml:space="preserve"> </w:t>
      </w:r>
      <w:r w:rsidR="0041393E">
        <w:rPr>
          <w:rStyle w:val="fnt0"/>
          <w:rFonts w:cs="Times New Roman"/>
          <w:bCs/>
          <w:szCs w:val="24"/>
        </w:rPr>
        <w:t xml:space="preserve">We contrast writing test scores with reading test scores, </w:t>
      </w:r>
      <w:r w:rsidR="00A364BD">
        <w:rPr>
          <w:rStyle w:val="fnt0"/>
          <w:rFonts w:cs="Times New Roman"/>
          <w:bCs/>
          <w:szCs w:val="24"/>
        </w:rPr>
        <w:t xml:space="preserve">where </w:t>
      </w:r>
      <w:r w:rsidR="0041393E">
        <w:rPr>
          <w:rStyle w:val="fnt0"/>
          <w:rFonts w:cs="Times New Roman"/>
          <w:bCs/>
          <w:szCs w:val="24"/>
        </w:rPr>
        <w:t xml:space="preserve">we found no statistical </w:t>
      </w:r>
      <w:r w:rsidR="002501C7">
        <w:rPr>
          <w:rStyle w:val="fnt0"/>
          <w:rFonts w:cs="Times New Roman"/>
          <w:bCs/>
          <w:szCs w:val="24"/>
        </w:rPr>
        <w:t>difference</w:t>
      </w:r>
      <w:r w:rsidR="004047A8">
        <w:rPr>
          <w:rStyle w:val="fnt0"/>
          <w:rFonts w:cs="Times New Roman"/>
          <w:bCs/>
          <w:szCs w:val="24"/>
        </w:rPr>
        <w:t>s</w:t>
      </w:r>
      <w:r w:rsidR="0041393E">
        <w:rPr>
          <w:rStyle w:val="fnt0"/>
          <w:rFonts w:cs="Times New Roman"/>
          <w:bCs/>
          <w:szCs w:val="24"/>
        </w:rPr>
        <w:t xml:space="preserve"> between groups.  </w:t>
      </w:r>
      <w:r w:rsidR="00900E49">
        <w:rPr>
          <w:rStyle w:val="fnt0"/>
          <w:rFonts w:cs="Times New Roman"/>
          <w:bCs/>
          <w:szCs w:val="24"/>
        </w:rPr>
        <w:t xml:space="preserve">Further, </w:t>
      </w:r>
      <w:r w:rsidR="007B38D1">
        <w:rPr>
          <w:rStyle w:val="fnt0"/>
          <w:rFonts w:cs="Times New Roman"/>
          <w:bCs/>
          <w:szCs w:val="24"/>
        </w:rPr>
        <w:t xml:space="preserve">when analyzing the results, </w:t>
      </w:r>
      <w:r w:rsidR="00F64B2E">
        <w:rPr>
          <w:rStyle w:val="fnt0"/>
          <w:rFonts w:cs="Times New Roman"/>
          <w:bCs/>
          <w:szCs w:val="24"/>
        </w:rPr>
        <w:t xml:space="preserve">we </w:t>
      </w:r>
      <w:r w:rsidR="000634B3">
        <w:rPr>
          <w:rStyle w:val="fnt0"/>
          <w:rFonts w:cs="Times New Roman"/>
          <w:bCs/>
          <w:szCs w:val="24"/>
        </w:rPr>
        <w:t>do not assume</w:t>
      </w:r>
      <w:r w:rsidR="00F64B2E">
        <w:rPr>
          <w:rStyle w:val="fnt0"/>
          <w:rFonts w:cs="Times New Roman"/>
          <w:bCs/>
          <w:szCs w:val="24"/>
        </w:rPr>
        <w:t xml:space="preserve"> the populations</w:t>
      </w:r>
      <w:r w:rsidR="00900E49">
        <w:rPr>
          <w:rStyle w:val="fnt0"/>
          <w:rFonts w:cs="Times New Roman"/>
          <w:bCs/>
          <w:szCs w:val="24"/>
        </w:rPr>
        <w:t>'</w:t>
      </w:r>
      <w:r w:rsidR="00F64B2E">
        <w:rPr>
          <w:rStyle w:val="fnt0"/>
          <w:rFonts w:cs="Times New Roman"/>
          <w:bCs/>
          <w:szCs w:val="24"/>
        </w:rPr>
        <w:t xml:space="preserve"> </w:t>
      </w:r>
      <w:r w:rsidR="00BC5856">
        <w:rPr>
          <w:rStyle w:val="fnt0"/>
          <w:rFonts w:cs="Times New Roman"/>
          <w:bCs/>
          <w:szCs w:val="24"/>
        </w:rPr>
        <w:t>variances to be equal when examining</w:t>
      </w:r>
      <w:r w:rsidR="00255B33">
        <w:rPr>
          <w:rStyle w:val="fnt0"/>
          <w:rFonts w:cs="Times New Roman"/>
          <w:bCs/>
          <w:szCs w:val="24"/>
        </w:rPr>
        <w:t xml:space="preserve"> writing test</w:t>
      </w:r>
      <w:r w:rsidR="00033176">
        <w:rPr>
          <w:rStyle w:val="fnt0"/>
          <w:rFonts w:cs="Times New Roman"/>
          <w:bCs/>
          <w:szCs w:val="24"/>
        </w:rPr>
        <w:t xml:space="preserve"> scores</w:t>
      </w:r>
      <w:r w:rsidR="00255B33">
        <w:rPr>
          <w:rStyle w:val="fnt0"/>
          <w:rFonts w:cs="Times New Roman"/>
          <w:bCs/>
          <w:szCs w:val="24"/>
        </w:rPr>
        <w:t>.</w:t>
      </w:r>
      <w:r w:rsidR="00BC5856">
        <w:rPr>
          <w:rStyle w:val="fnt0"/>
          <w:rFonts w:cs="Times New Roman"/>
          <w:bCs/>
          <w:szCs w:val="24"/>
        </w:rPr>
        <w:t xml:space="preserve">  </w:t>
      </w:r>
      <w:r w:rsidR="00216BDD">
        <w:rPr>
          <w:rStyle w:val="fnt0"/>
          <w:rFonts w:cs="Times New Roman"/>
          <w:bCs/>
          <w:szCs w:val="24"/>
        </w:rPr>
        <w:t xml:space="preserve">When examining </w:t>
      </w:r>
      <w:r w:rsidR="00033176">
        <w:rPr>
          <w:rStyle w:val="fnt0"/>
          <w:rFonts w:cs="Times New Roman"/>
          <w:bCs/>
          <w:szCs w:val="24"/>
        </w:rPr>
        <w:t xml:space="preserve">reading test scores, on the other hand, </w:t>
      </w:r>
      <w:r w:rsidR="00216BDD">
        <w:rPr>
          <w:rStyle w:val="fnt0"/>
          <w:rFonts w:cs="Times New Roman"/>
          <w:bCs/>
          <w:szCs w:val="24"/>
        </w:rPr>
        <w:t xml:space="preserve">we </w:t>
      </w:r>
      <w:r w:rsidR="00DB3A90">
        <w:rPr>
          <w:rStyle w:val="fnt0"/>
          <w:rFonts w:cs="Times New Roman"/>
          <w:bCs/>
          <w:szCs w:val="24"/>
        </w:rPr>
        <w:t xml:space="preserve">can assume </w:t>
      </w:r>
      <w:r w:rsidR="00356599">
        <w:rPr>
          <w:rStyle w:val="fnt0"/>
          <w:rFonts w:cs="Times New Roman"/>
          <w:bCs/>
          <w:szCs w:val="24"/>
        </w:rPr>
        <w:t>the population variances to be equal</w:t>
      </w:r>
      <w:r w:rsidR="003D29D0">
        <w:rPr>
          <w:rStyle w:val="fnt0"/>
          <w:rFonts w:cs="Times New Roman"/>
          <w:bCs/>
          <w:szCs w:val="24"/>
        </w:rPr>
        <w:t>, based on the p-value of the F-Stat</w:t>
      </w:r>
      <w:r w:rsidR="006F6EBF">
        <w:rPr>
          <w:rStyle w:val="fnt0"/>
          <w:rFonts w:cs="Times New Roman"/>
          <w:bCs/>
          <w:szCs w:val="24"/>
        </w:rPr>
        <w:t>istic</w:t>
      </w:r>
      <w:r w:rsidR="009E0F96">
        <w:rPr>
          <w:rStyle w:val="fnt0"/>
          <w:rFonts w:cs="Times New Roman"/>
          <w:bCs/>
          <w:szCs w:val="24"/>
        </w:rPr>
        <w:t xml:space="preserve"> </w:t>
      </w:r>
      <w:r w:rsidR="009E0F96">
        <w:t>(Elliott &amp; Woodward, 2016)</w:t>
      </w:r>
      <w:r w:rsidR="006F6EBF">
        <w:rPr>
          <w:rStyle w:val="fnt0"/>
          <w:rFonts w:cs="Times New Roman"/>
          <w:bCs/>
          <w:szCs w:val="24"/>
        </w:rPr>
        <w:t>.</w:t>
      </w:r>
      <w:r w:rsidR="004904C1">
        <w:rPr>
          <w:rStyle w:val="fnt0"/>
          <w:rFonts w:cs="Times New Roman"/>
          <w:bCs/>
          <w:szCs w:val="24"/>
        </w:rPr>
        <w:t xml:space="preserve"> </w:t>
      </w:r>
    </w:p>
    <w:p w14:paraId="4ACEC7C6" w14:textId="77777777" w:rsidR="00BE28CE" w:rsidRDefault="00533667" w:rsidP="00BE28CE">
      <w:pPr>
        <w:spacing w:after="0" w:line="480" w:lineRule="auto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lastRenderedPageBreak/>
        <w:t>SAS Code</w:t>
      </w:r>
    </w:p>
    <w:p w14:paraId="54DB4E27" w14:textId="7B8224E8" w:rsidR="008B4377" w:rsidRPr="00BE28CE" w:rsidRDefault="008B4377" w:rsidP="00BE28CE">
      <w:pPr>
        <w:spacing w:after="0" w:line="480" w:lineRule="auto"/>
        <w:rPr>
          <w:rFonts w:cs="Times New Roman"/>
          <w:b/>
          <w:color w:val="000000"/>
          <w:szCs w:val="24"/>
          <w:shd w:val="clear" w:color="auto" w:fill="FFFFFF"/>
        </w:rPr>
      </w:pPr>
      <w:r w:rsidRPr="00295113">
        <w:rPr>
          <w:rFonts w:ascii="Courier New" w:hAnsi="Courier New" w:cs="Courier New"/>
          <w:sz w:val="21"/>
          <w:szCs w:val="21"/>
        </w:rPr>
        <w:t>DATA testScores;</w:t>
      </w:r>
    </w:p>
    <w:p w14:paraId="7C52115F" w14:textId="77777777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ab/>
        <w:t>SET MYSASLIB.hsb2;</w:t>
      </w:r>
    </w:p>
    <w:p w14:paraId="7371563B" w14:textId="77777777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ab/>
        <w:t>RENAME female=Gender socst=SocialStudies science=Science</w:t>
      </w:r>
    </w:p>
    <w:p w14:paraId="5E0604DA" w14:textId="77777777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ab/>
        <w:t>math=Math write=Writing read=Reading;</w:t>
      </w:r>
    </w:p>
    <w:p w14:paraId="27F4FCEF" w14:textId="77777777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>RUN;</w:t>
      </w:r>
    </w:p>
    <w:p w14:paraId="1B31C615" w14:textId="443E2DA4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>PROC FORMAT;</w:t>
      </w:r>
    </w:p>
    <w:p w14:paraId="3A400BE1" w14:textId="3472D892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ab/>
        <w:t>VALUE genderFmt 0=</w:t>
      </w:r>
      <w:r w:rsidR="001B2861">
        <w:rPr>
          <w:rFonts w:ascii="Courier New" w:hAnsi="Courier New" w:cs="Courier New"/>
        </w:rPr>
        <w:t>’</w:t>
      </w:r>
      <w:r w:rsidRPr="00295113">
        <w:rPr>
          <w:rFonts w:ascii="Courier New" w:hAnsi="Courier New" w:cs="Courier New"/>
        </w:rPr>
        <w:t>Male</w:t>
      </w:r>
      <w:r w:rsidR="001B2861">
        <w:rPr>
          <w:rFonts w:ascii="Courier New" w:hAnsi="Courier New" w:cs="Courier New"/>
        </w:rPr>
        <w:t>’</w:t>
      </w:r>
      <w:r w:rsidRPr="00295113">
        <w:rPr>
          <w:rFonts w:ascii="Courier New" w:hAnsi="Courier New" w:cs="Courier New"/>
        </w:rPr>
        <w:t xml:space="preserve"> 1=</w:t>
      </w:r>
      <w:r w:rsidR="001B2861">
        <w:rPr>
          <w:rFonts w:ascii="Courier New" w:hAnsi="Courier New" w:cs="Courier New"/>
        </w:rPr>
        <w:t>’</w:t>
      </w:r>
      <w:r w:rsidRPr="00295113">
        <w:rPr>
          <w:rFonts w:ascii="Courier New" w:hAnsi="Courier New" w:cs="Courier New"/>
        </w:rPr>
        <w:t>Female</w:t>
      </w:r>
      <w:r w:rsidR="001B2861">
        <w:rPr>
          <w:rFonts w:ascii="Courier New" w:hAnsi="Courier New" w:cs="Courier New"/>
        </w:rPr>
        <w:t>’</w:t>
      </w:r>
      <w:r w:rsidRPr="00295113">
        <w:rPr>
          <w:rFonts w:ascii="Courier New" w:hAnsi="Courier New" w:cs="Courier New"/>
        </w:rPr>
        <w:t>;</w:t>
      </w:r>
    </w:p>
    <w:p w14:paraId="461479E0" w14:textId="77777777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>RUN;</w:t>
      </w:r>
    </w:p>
    <w:p w14:paraId="1A9456A0" w14:textId="77777777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>PROC TTEST DATA=testScores;</w:t>
      </w:r>
    </w:p>
    <w:p w14:paraId="47CC0035" w14:textId="77777777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ab/>
        <w:t>CLASS Gender;</w:t>
      </w:r>
    </w:p>
    <w:p w14:paraId="7830C10D" w14:textId="77777777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ab/>
        <w:t>VAR Writing Reading;</w:t>
      </w:r>
    </w:p>
    <w:p w14:paraId="016AFAB9" w14:textId="77777777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ab/>
        <w:t>FORMAT Gender genderFmt.;</w:t>
      </w:r>
    </w:p>
    <w:p w14:paraId="00214D5F" w14:textId="62DD57C8" w:rsidR="008B4377" w:rsidRPr="00295113" w:rsidRDefault="008B4377" w:rsidP="000A6393">
      <w:pPr>
        <w:pStyle w:val="PlainText"/>
        <w:rPr>
          <w:rFonts w:ascii="Courier New" w:hAnsi="Courier New" w:cs="Courier New"/>
        </w:rPr>
      </w:pPr>
      <w:r w:rsidRPr="00295113">
        <w:rPr>
          <w:rFonts w:ascii="Courier New" w:hAnsi="Courier New" w:cs="Courier New"/>
        </w:rPr>
        <w:tab/>
        <w:t xml:space="preserve">TITLE </w:t>
      </w:r>
      <w:r w:rsidR="001B2861">
        <w:rPr>
          <w:rFonts w:ascii="Courier New" w:hAnsi="Courier New" w:cs="Courier New"/>
        </w:rPr>
        <w:t>‘</w:t>
      </w:r>
      <w:r w:rsidRPr="00295113">
        <w:rPr>
          <w:rFonts w:ascii="Courier New" w:hAnsi="Courier New" w:cs="Courier New"/>
        </w:rPr>
        <w:t>Two Sample t-Test (Gender x Test Scores) Reading &amp; Writing</w:t>
      </w:r>
      <w:r w:rsidR="001B2861">
        <w:rPr>
          <w:rFonts w:ascii="Courier New" w:hAnsi="Courier New" w:cs="Courier New"/>
        </w:rPr>
        <w:t>’</w:t>
      </w:r>
      <w:r w:rsidRPr="00295113">
        <w:rPr>
          <w:rFonts w:ascii="Courier New" w:hAnsi="Courier New" w:cs="Courier New"/>
        </w:rPr>
        <w:t>;</w:t>
      </w:r>
    </w:p>
    <w:p w14:paraId="30814C67" w14:textId="31F99846" w:rsidR="00191BC6" w:rsidRPr="00E6237A" w:rsidRDefault="008B4377" w:rsidP="00E6237A">
      <w:pPr>
        <w:pStyle w:val="PlainText"/>
        <w:rPr>
          <w:rStyle w:val="fnt0"/>
          <w:rFonts w:ascii="Courier New" w:hAnsi="Courier New" w:cs="Courier New"/>
          <w:color w:val="auto"/>
          <w:shd w:val="clear" w:color="auto" w:fill="auto"/>
        </w:rPr>
      </w:pPr>
      <w:r w:rsidRPr="00295113">
        <w:rPr>
          <w:rFonts w:ascii="Courier New" w:hAnsi="Courier New" w:cs="Courier New"/>
        </w:rPr>
        <w:t>RUN;</w:t>
      </w:r>
    </w:p>
    <w:p w14:paraId="65F66518" w14:textId="77777777" w:rsidR="00191BC6" w:rsidRDefault="00191BC6" w:rsidP="00533667">
      <w:pPr>
        <w:spacing w:after="0" w:line="480" w:lineRule="auto"/>
        <w:rPr>
          <w:rStyle w:val="fnt0"/>
          <w:rFonts w:cs="Times New Roman"/>
          <w:bCs/>
          <w:szCs w:val="24"/>
        </w:rPr>
      </w:pPr>
    </w:p>
    <w:p w14:paraId="2069CB24" w14:textId="044A7AE8" w:rsidR="0052523A" w:rsidRDefault="0052523A" w:rsidP="00533667">
      <w:pPr>
        <w:spacing w:after="0" w:line="480" w:lineRule="auto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t>SAS Output</w:t>
      </w:r>
    </w:p>
    <w:p w14:paraId="5D3FC934" w14:textId="01CE4334" w:rsidR="0052523A" w:rsidRDefault="00E066D1" w:rsidP="0052523A">
      <w:pPr>
        <w:spacing w:after="0" w:line="480" w:lineRule="auto"/>
        <w:jc w:val="center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t>Two Sample t-Test (Gender x Test Scores) Reading &amp; Writing</w:t>
      </w:r>
    </w:p>
    <w:p w14:paraId="60F4CA46" w14:textId="3E94E7E6" w:rsidR="00E066D1" w:rsidRDefault="00E066D1" w:rsidP="0052523A">
      <w:pPr>
        <w:spacing w:after="0" w:line="480" w:lineRule="auto"/>
        <w:jc w:val="center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t>The TTEST Procedure</w:t>
      </w:r>
    </w:p>
    <w:p w14:paraId="71914814" w14:textId="13DBF6A8" w:rsidR="00E066D1" w:rsidRPr="00E066D1" w:rsidRDefault="00E066D1" w:rsidP="0052523A">
      <w:pPr>
        <w:spacing w:after="0" w:line="480" w:lineRule="auto"/>
        <w:jc w:val="center"/>
        <w:rPr>
          <w:rStyle w:val="fnt0"/>
          <w:rFonts w:cs="Times New Roman"/>
          <w:b/>
          <w:szCs w:val="24"/>
        </w:rPr>
      </w:pPr>
      <w:r>
        <w:rPr>
          <w:rStyle w:val="fnt0"/>
          <w:rFonts w:cs="Times New Roman"/>
          <w:b/>
          <w:szCs w:val="24"/>
        </w:rPr>
        <w:t>Variable: Writing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4"/>
        <w:gridCol w:w="1631"/>
        <w:gridCol w:w="495"/>
        <w:gridCol w:w="919"/>
        <w:gridCol w:w="1007"/>
        <w:gridCol w:w="978"/>
        <w:gridCol w:w="1246"/>
        <w:gridCol w:w="1289"/>
      </w:tblGrid>
      <w:tr w:rsidR="00810C90" w14:paraId="735663D2" w14:textId="77777777" w:rsidTr="00E066D1">
        <w:trPr>
          <w:cantSplit/>
          <w:trHeight w:val="313"/>
          <w:tblHeader/>
          <w:jc w:val="center"/>
        </w:trPr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02F148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bookmarkStart w:id="1" w:name="IDX"/>
            <w:bookmarkEnd w:id="1"/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Gender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0EF5855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Method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1C946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7670B1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CDE308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Std Dev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8B949A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Std Err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D0CAF6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Minimum</w:t>
            </w:r>
          </w:p>
        </w:tc>
        <w:tc>
          <w:tcPr>
            <w:tcW w:w="128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07125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Maximum</w:t>
            </w:r>
          </w:p>
        </w:tc>
      </w:tr>
      <w:tr w:rsidR="00810C90" w14:paraId="508DA0EF" w14:textId="77777777" w:rsidTr="00E066D1">
        <w:trPr>
          <w:cantSplit/>
          <w:trHeight w:val="563"/>
          <w:jc w:val="center"/>
        </w:trPr>
        <w:tc>
          <w:tcPr>
            <w:tcW w:w="12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406A8C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Male</w:t>
            </w:r>
          </w:p>
        </w:tc>
        <w:tc>
          <w:tcPr>
            <w:tcW w:w="16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444F0E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</w:p>
        </w:tc>
        <w:tc>
          <w:tcPr>
            <w:tcW w:w="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9AFE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FD9592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50.1209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FD06B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10.3052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B4C32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1.0803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37044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31.0000</w:t>
            </w: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B5FF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67.0000</w:t>
            </w:r>
          </w:p>
        </w:tc>
      </w:tr>
      <w:tr w:rsidR="00810C90" w14:paraId="5CCA4857" w14:textId="77777777" w:rsidTr="00E066D1">
        <w:trPr>
          <w:cantSplit/>
          <w:trHeight w:val="563"/>
          <w:jc w:val="center"/>
        </w:trPr>
        <w:tc>
          <w:tcPr>
            <w:tcW w:w="12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63C39E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Female</w:t>
            </w:r>
          </w:p>
        </w:tc>
        <w:tc>
          <w:tcPr>
            <w:tcW w:w="16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547996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</w:p>
        </w:tc>
        <w:tc>
          <w:tcPr>
            <w:tcW w:w="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94CA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D8DDD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54.9908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814CD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8.1337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2DB2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0.7791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F6455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35.0000</w:t>
            </w: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8C49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67.0000</w:t>
            </w:r>
          </w:p>
        </w:tc>
      </w:tr>
      <w:tr w:rsidR="00810C90" w14:paraId="2720402E" w14:textId="77777777" w:rsidTr="00E066D1">
        <w:trPr>
          <w:cantSplit/>
          <w:trHeight w:val="563"/>
          <w:jc w:val="center"/>
        </w:trPr>
        <w:tc>
          <w:tcPr>
            <w:tcW w:w="12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4624FE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Diff (1-2)</w:t>
            </w:r>
          </w:p>
        </w:tc>
        <w:tc>
          <w:tcPr>
            <w:tcW w:w="16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0619FD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Pooled</w:t>
            </w:r>
          </w:p>
        </w:tc>
        <w:tc>
          <w:tcPr>
            <w:tcW w:w="4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FC01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959F8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-4.8699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D659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9.1846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4F64A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1.3042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D4BB0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8A28A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810C90" w14:paraId="6CD7F718" w14:textId="77777777" w:rsidTr="00E066D1">
        <w:trPr>
          <w:cantSplit/>
          <w:trHeight w:val="563"/>
          <w:jc w:val="center"/>
        </w:trPr>
        <w:tc>
          <w:tcPr>
            <w:tcW w:w="12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4AF975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Diff (1-2)</w:t>
            </w:r>
          </w:p>
        </w:tc>
        <w:tc>
          <w:tcPr>
            <w:tcW w:w="16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50C1B1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Satterthwaite</w:t>
            </w:r>
          </w:p>
        </w:tc>
        <w:tc>
          <w:tcPr>
            <w:tcW w:w="49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36205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740E9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-4.8699</w:t>
            </w:r>
          </w:p>
        </w:tc>
        <w:tc>
          <w:tcPr>
            <w:tcW w:w="100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5FA5B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57AE8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1.3319</w:t>
            </w:r>
          </w:p>
        </w:tc>
        <w:tc>
          <w:tcPr>
            <w:tcW w:w="12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8E1CF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B9FA2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342F4D7A" w14:textId="77777777" w:rsidR="00810C90" w:rsidRDefault="00810C9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6"/>
        <w:gridCol w:w="1780"/>
        <w:gridCol w:w="1002"/>
        <w:gridCol w:w="1002"/>
        <w:gridCol w:w="1003"/>
        <w:gridCol w:w="1099"/>
        <w:gridCol w:w="859"/>
        <w:gridCol w:w="988"/>
      </w:tblGrid>
      <w:tr w:rsidR="00810C90" w14:paraId="1224FD87" w14:textId="77777777" w:rsidTr="00E6237A">
        <w:trPr>
          <w:cantSplit/>
          <w:trHeight w:val="334"/>
          <w:tblHeader/>
          <w:jc w:val="center"/>
        </w:trPr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61FA71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bookmarkStart w:id="2" w:name="IDX1"/>
            <w:bookmarkEnd w:id="2"/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Gender</w:t>
            </w:r>
          </w:p>
        </w:tc>
        <w:tc>
          <w:tcPr>
            <w:tcW w:w="17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D1B7A9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Method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7FBCEA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2005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7F33C7" w14:textId="77777777" w:rsidR="00810C90" w:rsidRDefault="00810C9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95% CL Mean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F219C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Std Dev</w:t>
            </w:r>
          </w:p>
        </w:tc>
        <w:tc>
          <w:tcPr>
            <w:tcW w:w="1847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D4DCBC" w14:textId="77777777" w:rsidR="00810C90" w:rsidRDefault="00810C9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95% CL Std Dev</w:t>
            </w:r>
          </w:p>
        </w:tc>
      </w:tr>
      <w:tr w:rsidR="00810C90" w14:paraId="112FC01B" w14:textId="77777777" w:rsidTr="00E6237A">
        <w:trPr>
          <w:cantSplit/>
          <w:trHeight w:val="358"/>
          <w:jc w:val="center"/>
        </w:trPr>
        <w:tc>
          <w:tcPr>
            <w:tcW w:w="13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1EE6BB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Male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8660BD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39ED1B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50.1209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9F25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47.9747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38D3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52.2670</w:t>
            </w:r>
          </w:p>
        </w:tc>
        <w:tc>
          <w:tcPr>
            <w:tcW w:w="10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C352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10.3052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F8396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8.9947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805B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12.0662</w:t>
            </w:r>
          </w:p>
        </w:tc>
      </w:tr>
      <w:tr w:rsidR="00810C90" w14:paraId="1A46ED8D" w14:textId="77777777" w:rsidTr="00E6237A">
        <w:trPr>
          <w:cantSplit/>
          <w:trHeight w:val="358"/>
          <w:jc w:val="center"/>
        </w:trPr>
        <w:tc>
          <w:tcPr>
            <w:tcW w:w="13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E98CFE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Female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D2ED86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EF1442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54.9908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8F51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53.4466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ED696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56.5351</w:t>
            </w:r>
          </w:p>
        </w:tc>
        <w:tc>
          <w:tcPr>
            <w:tcW w:w="10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4AF58F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8.1337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BB4A37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7.1786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1AE81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9.3843</w:t>
            </w:r>
          </w:p>
        </w:tc>
      </w:tr>
      <w:tr w:rsidR="00810C90" w14:paraId="4D67EB1E" w14:textId="77777777" w:rsidTr="00E6237A">
        <w:trPr>
          <w:cantSplit/>
          <w:trHeight w:val="358"/>
          <w:jc w:val="center"/>
        </w:trPr>
        <w:tc>
          <w:tcPr>
            <w:tcW w:w="13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13E994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Diff (1-2)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F4A4D0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Pooled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63956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-4.8699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87CF1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-7.4418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E1D8B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-2.2981</w:t>
            </w:r>
          </w:p>
        </w:tc>
        <w:tc>
          <w:tcPr>
            <w:tcW w:w="10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1017D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9.1846</w:t>
            </w: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70663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8.3622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EC352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10.1878</w:t>
            </w:r>
          </w:p>
        </w:tc>
      </w:tr>
      <w:tr w:rsidR="00810C90" w14:paraId="4EA3F6E1" w14:textId="77777777" w:rsidTr="00E6237A">
        <w:trPr>
          <w:cantSplit/>
          <w:trHeight w:val="358"/>
          <w:jc w:val="center"/>
        </w:trPr>
        <w:tc>
          <w:tcPr>
            <w:tcW w:w="13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6B3BEEF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Diff (1-2)</w:t>
            </w:r>
          </w:p>
        </w:tc>
        <w:tc>
          <w:tcPr>
            <w:tcW w:w="17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B092EA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Satterthwaite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010EC7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-4.8699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A08DC3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-7.4992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B1E6D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-2.2407</w:t>
            </w:r>
          </w:p>
        </w:tc>
        <w:tc>
          <w:tcPr>
            <w:tcW w:w="10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7AF1FF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29888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26B87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0342F19B" w14:textId="77777777" w:rsidR="00810C90" w:rsidRDefault="00810C9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9"/>
        <w:gridCol w:w="1250"/>
        <w:gridCol w:w="791"/>
        <w:gridCol w:w="940"/>
        <w:gridCol w:w="891"/>
      </w:tblGrid>
      <w:tr w:rsidR="00810C90" w14:paraId="102C6DA5" w14:textId="77777777" w:rsidTr="00E066D1">
        <w:trPr>
          <w:cantSplit/>
          <w:trHeight w:val="313"/>
          <w:tblHeader/>
          <w:jc w:val="center"/>
        </w:trPr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1C1721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bookmarkStart w:id="3" w:name="IDX2"/>
            <w:bookmarkEnd w:id="3"/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lastRenderedPageBreak/>
              <w:t>Method</w:t>
            </w:r>
          </w:p>
        </w:tc>
        <w:tc>
          <w:tcPr>
            <w:tcW w:w="12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1B015F7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Variances</w:t>
            </w:r>
          </w:p>
        </w:tc>
        <w:tc>
          <w:tcPr>
            <w:tcW w:w="79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47A1CA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167C0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 Value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9FFFFD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Pr &gt; |t|</w:t>
            </w:r>
          </w:p>
        </w:tc>
      </w:tr>
      <w:tr w:rsidR="00810C90" w14:paraId="70DA1F34" w14:textId="77777777" w:rsidTr="00E066D1">
        <w:trPr>
          <w:cantSplit/>
          <w:trHeight w:val="563"/>
          <w:jc w:val="center"/>
        </w:trPr>
        <w:tc>
          <w:tcPr>
            <w:tcW w:w="164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771987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Pooled</w:t>
            </w:r>
          </w:p>
        </w:tc>
        <w:tc>
          <w:tcPr>
            <w:tcW w:w="1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B0790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Equal</w:t>
            </w: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E1001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B8D765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-3.73</w:t>
            </w:r>
          </w:p>
        </w:tc>
        <w:tc>
          <w:tcPr>
            <w:tcW w:w="89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C2027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0.0002</w:t>
            </w:r>
          </w:p>
        </w:tc>
      </w:tr>
      <w:tr w:rsidR="00810C90" w14:paraId="512811FF" w14:textId="77777777" w:rsidTr="00E066D1">
        <w:trPr>
          <w:cantSplit/>
          <w:trHeight w:val="563"/>
          <w:jc w:val="center"/>
        </w:trPr>
        <w:tc>
          <w:tcPr>
            <w:tcW w:w="164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AEC0014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Satterthwaite</w:t>
            </w:r>
          </w:p>
        </w:tc>
        <w:tc>
          <w:tcPr>
            <w:tcW w:w="12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BF893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Unequal</w:t>
            </w: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0BFC3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169.71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D88C05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-3.66</w:t>
            </w:r>
          </w:p>
        </w:tc>
        <w:tc>
          <w:tcPr>
            <w:tcW w:w="89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80902F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0.0003</w:t>
            </w:r>
          </w:p>
        </w:tc>
      </w:tr>
    </w:tbl>
    <w:p w14:paraId="094742F3" w14:textId="77777777" w:rsidR="00810C90" w:rsidRDefault="00810C9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1028"/>
        <w:gridCol w:w="934"/>
        <w:gridCol w:w="949"/>
        <w:gridCol w:w="831"/>
      </w:tblGrid>
      <w:tr w:rsidR="00810C90" w14:paraId="00E99DCA" w14:textId="77777777" w:rsidTr="00B870E7">
        <w:trPr>
          <w:cantSplit/>
          <w:trHeight w:val="365"/>
          <w:tblHeader/>
          <w:jc w:val="center"/>
        </w:trPr>
        <w:tc>
          <w:tcPr>
            <w:tcW w:w="481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4115AE" w14:textId="77777777" w:rsidR="00810C90" w:rsidRDefault="00810C9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bookmarkStart w:id="4" w:name="IDX3"/>
            <w:bookmarkEnd w:id="4"/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Equality of Variances</w:t>
            </w:r>
          </w:p>
        </w:tc>
      </w:tr>
      <w:tr w:rsidR="00810C90" w14:paraId="60169F02" w14:textId="77777777" w:rsidTr="00B870E7">
        <w:trPr>
          <w:cantSplit/>
          <w:trHeight w:val="375"/>
          <w:tblHeader/>
          <w:jc w:val="center"/>
        </w:trPr>
        <w:tc>
          <w:tcPr>
            <w:tcW w:w="10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56FF3D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Method</w:t>
            </w:r>
          </w:p>
        </w:tc>
        <w:tc>
          <w:tcPr>
            <w:tcW w:w="10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8A8B1F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Num DF</w:t>
            </w:r>
          </w:p>
        </w:tc>
        <w:tc>
          <w:tcPr>
            <w:tcW w:w="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07FFF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Den DF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F269F3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 Value</w:t>
            </w:r>
          </w:p>
        </w:tc>
        <w:tc>
          <w:tcPr>
            <w:tcW w:w="8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D763A6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Pr &gt; F</w:t>
            </w:r>
          </w:p>
        </w:tc>
      </w:tr>
      <w:tr w:rsidR="00810C90" w14:paraId="2893BF7B" w14:textId="77777777" w:rsidTr="00B870E7">
        <w:trPr>
          <w:cantSplit/>
          <w:trHeight w:val="676"/>
          <w:jc w:val="center"/>
        </w:trPr>
        <w:tc>
          <w:tcPr>
            <w:tcW w:w="10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DF0969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Folded F</w:t>
            </w:r>
          </w:p>
        </w:tc>
        <w:tc>
          <w:tcPr>
            <w:tcW w:w="102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78DA63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9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5EC842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  <w:tc>
          <w:tcPr>
            <w:tcW w:w="94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5399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1.61</w:t>
            </w:r>
          </w:p>
        </w:tc>
        <w:tc>
          <w:tcPr>
            <w:tcW w:w="82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FE0E6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0.0187</w:t>
            </w:r>
          </w:p>
        </w:tc>
      </w:tr>
    </w:tbl>
    <w:p w14:paraId="4725A90D" w14:textId="77777777" w:rsidR="00810C90" w:rsidRDefault="00810C90">
      <w:pPr>
        <w:adjustRightInd w:val="0"/>
        <w:rPr>
          <w:rFonts w:ascii="Times" w:hAnsi="Times" w:cs="Times"/>
          <w:color w:val="000000"/>
        </w:rPr>
      </w:pPr>
    </w:p>
    <w:p w14:paraId="61F080B1" w14:textId="43123D24" w:rsidR="00810C90" w:rsidRDefault="00526A3E">
      <w:pPr>
        <w:adjustRightInd w:val="0"/>
        <w:jc w:val="center"/>
        <w:rPr>
          <w:szCs w:val="24"/>
        </w:rPr>
      </w:pPr>
      <w:bookmarkStart w:id="5" w:name="IDX4"/>
      <w:bookmarkEnd w:id="5"/>
      <w:r>
        <w:rPr>
          <w:noProof/>
          <w:szCs w:val="24"/>
        </w:rPr>
        <w:pict w14:anchorId="1404DD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223.5pt">
            <v:imagedata r:id="rId10" o:title=""/>
          </v:shape>
        </w:pict>
      </w:r>
    </w:p>
    <w:p w14:paraId="471C7DEB" w14:textId="77777777" w:rsidR="00810C90" w:rsidRDefault="00810C90">
      <w:pPr>
        <w:adjustRightInd w:val="0"/>
        <w:rPr>
          <w:szCs w:val="24"/>
        </w:rPr>
      </w:pPr>
    </w:p>
    <w:p w14:paraId="2B178826" w14:textId="37AF6A5E" w:rsidR="00810C90" w:rsidRDefault="00526A3E">
      <w:pPr>
        <w:adjustRightInd w:val="0"/>
        <w:jc w:val="center"/>
        <w:rPr>
          <w:szCs w:val="24"/>
        </w:rPr>
      </w:pPr>
      <w:bookmarkStart w:id="6" w:name="IDX5"/>
      <w:bookmarkEnd w:id="6"/>
      <w:r>
        <w:rPr>
          <w:noProof/>
          <w:szCs w:val="24"/>
        </w:rPr>
        <w:pict w14:anchorId="19A34AE6">
          <v:shape id="_x0000_i1026" type="#_x0000_t75" style="width:310.5pt;height:175.5pt">
            <v:imagedata r:id="rId11" o:title=""/>
          </v:shape>
        </w:pic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8"/>
      </w:tblGrid>
      <w:tr w:rsidR="00810C90" w14:paraId="0347496C" w14:textId="77777777">
        <w:trPr>
          <w:cantSplit/>
          <w:jc w:val="center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66BFA7D" w14:textId="77777777" w:rsidR="008952A2" w:rsidRDefault="008952A2" w:rsidP="008952A2">
            <w:pPr>
              <w:keepNext/>
              <w:adjustRightInd w:val="0"/>
              <w:spacing w:before="10" w:after="10"/>
              <w:rPr>
                <w:rFonts w:ascii="Times" w:hAnsi="Times" w:cs="Times"/>
                <w:b/>
                <w:bCs/>
                <w:i/>
                <w:iCs/>
                <w:color w:val="000000"/>
                <w:szCs w:val="24"/>
              </w:rPr>
            </w:pPr>
          </w:p>
          <w:p w14:paraId="2D11145F" w14:textId="4EB35551" w:rsidR="00810C90" w:rsidRDefault="00810C90" w:rsidP="000B1704">
            <w:pPr>
              <w:keepNext/>
              <w:adjustRightInd w:val="0"/>
              <w:spacing w:before="10" w:after="10"/>
              <w:rPr>
                <w:rFonts w:ascii="Times" w:hAnsi="Times" w:cs="Times"/>
                <w:b/>
                <w:bCs/>
                <w:i/>
                <w:iCs/>
                <w:color w:val="000000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Cs w:val="24"/>
              </w:rPr>
              <w:t>Variable:  Reading</w:t>
            </w:r>
          </w:p>
        </w:tc>
      </w:tr>
    </w:tbl>
    <w:p w14:paraId="678B7440" w14:textId="77777777" w:rsidR="00810C90" w:rsidRDefault="00810C90">
      <w:pPr>
        <w:adjustRightInd w:val="0"/>
        <w:rPr>
          <w:rFonts w:ascii="Times" w:hAnsi="Times" w:cs="Times"/>
          <w:b/>
          <w:bCs/>
          <w:i/>
          <w:iCs/>
          <w:color w:val="000000"/>
          <w:szCs w:val="24"/>
        </w:rPr>
      </w:pPr>
      <w:bookmarkStart w:id="7" w:name="IDX6"/>
      <w:bookmarkEnd w:id="7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611"/>
        <w:gridCol w:w="488"/>
        <w:gridCol w:w="1004"/>
        <w:gridCol w:w="990"/>
        <w:gridCol w:w="861"/>
        <w:gridCol w:w="1231"/>
        <w:gridCol w:w="1273"/>
      </w:tblGrid>
      <w:tr w:rsidR="00810C90" w14:paraId="36E45E25" w14:textId="77777777" w:rsidTr="0014456A">
        <w:trPr>
          <w:cantSplit/>
          <w:trHeight w:val="123"/>
          <w:tblHeader/>
          <w:jc w:val="center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4A39F15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Gender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1A9DE7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Method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28866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B7FA72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0FE511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Std Dev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D3AE78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Std Err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D8FDA5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Minimum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878ACB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Maximum</w:t>
            </w:r>
          </w:p>
        </w:tc>
      </w:tr>
      <w:tr w:rsidR="00810C90" w14:paraId="40645814" w14:textId="77777777" w:rsidTr="0014456A">
        <w:trPr>
          <w:cantSplit/>
          <w:trHeight w:val="238"/>
          <w:jc w:val="center"/>
        </w:trPr>
        <w:tc>
          <w:tcPr>
            <w:tcW w:w="12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FC8775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Male</w:t>
            </w:r>
          </w:p>
        </w:tc>
        <w:tc>
          <w:tcPr>
            <w:tcW w:w="1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E5816C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</w:p>
        </w:tc>
        <w:tc>
          <w:tcPr>
            <w:tcW w:w="4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2F80F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13199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52.8242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CA5E6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10.5067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52C86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1.1014</w:t>
            </w:r>
          </w:p>
        </w:tc>
        <w:tc>
          <w:tcPr>
            <w:tcW w:w="12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DA01F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31.0000</w:t>
            </w: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8A7983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76.0000</w:t>
            </w:r>
          </w:p>
        </w:tc>
      </w:tr>
      <w:tr w:rsidR="00810C90" w14:paraId="6119F3E0" w14:textId="77777777" w:rsidTr="0014456A">
        <w:trPr>
          <w:cantSplit/>
          <w:trHeight w:val="238"/>
          <w:jc w:val="center"/>
        </w:trPr>
        <w:tc>
          <w:tcPr>
            <w:tcW w:w="12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93C7A9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Female</w:t>
            </w:r>
          </w:p>
        </w:tc>
        <w:tc>
          <w:tcPr>
            <w:tcW w:w="1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5F9AC7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</w:p>
        </w:tc>
        <w:tc>
          <w:tcPr>
            <w:tcW w:w="4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18BDA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1EEF9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51.7339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9E24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10.0578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970CA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0.9634</w:t>
            </w:r>
          </w:p>
        </w:tc>
        <w:tc>
          <w:tcPr>
            <w:tcW w:w="12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F8D06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28.0000</w:t>
            </w: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08D5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76.0000</w:t>
            </w:r>
          </w:p>
        </w:tc>
      </w:tr>
      <w:tr w:rsidR="00810C90" w14:paraId="395986AA" w14:textId="77777777" w:rsidTr="0014456A">
        <w:trPr>
          <w:cantSplit/>
          <w:trHeight w:val="246"/>
          <w:jc w:val="center"/>
        </w:trPr>
        <w:tc>
          <w:tcPr>
            <w:tcW w:w="12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ADD2F5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Diff (1-2)</w:t>
            </w:r>
          </w:p>
        </w:tc>
        <w:tc>
          <w:tcPr>
            <w:tcW w:w="1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82E124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Pooled</w:t>
            </w:r>
          </w:p>
        </w:tc>
        <w:tc>
          <w:tcPr>
            <w:tcW w:w="4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03D747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69748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1.0902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C692DB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10.2643</w:t>
            </w: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C8C0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1.4575</w:t>
            </w:r>
          </w:p>
        </w:tc>
        <w:tc>
          <w:tcPr>
            <w:tcW w:w="12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5231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70F450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810C90" w14:paraId="2646145C" w14:textId="77777777" w:rsidTr="0014456A">
        <w:trPr>
          <w:cantSplit/>
          <w:trHeight w:val="131"/>
          <w:jc w:val="center"/>
        </w:trPr>
        <w:tc>
          <w:tcPr>
            <w:tcW w:w="12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900D49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Diff (1-2)</w:t>
            </w:r>
          </w:p>
        </w:tc>
        <w:tc>
          <w:tcPr>
            <w:tcW w:w="1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5A8814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Satterthwaite</w:t>
            </w:r>
          </w:p>
        </w:tc>
        <w:tc>
          <w:tcPr>
            <w:tcW w:w="4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349F3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D8AB37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1.0902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D692D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8A80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1.4633</w:t>
            </w:r>
          </w:p>
        </w:tc>
        <w:tc>
          <w:tcPr>
            <w:tcW w:w="12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41095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BCE265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6987D4D4" w14:textId="77777777" w:rsidR="00810C90" w:rsidRDefault="00810C9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9"/>
        <w:gridCol w:w="1824"/>
        <w:gridCol w:w="1010"/>
        <w:gridCol w:w="1026"/>
        <w:gridCol w:w="1014"/>
        <w:gridCol w:w="1126"/>
        <w:gridCol w:w="880"/>
        <w:gridCol w:w="1013"/>
      </w:tblGrid>
      <w:tr w:rsidR="00810C90" w14:paraId="11ACCB2B" w14:textId="77777777" w:rsidTr="00E066D1">
        <w:trPr>
          <w:cantSplit/>
          <w:trHeight w:val="210"/>
          <w:tblHeader/>
        </w:trPr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98D660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bookmarkStart w:id="8" w:name="IDX7"/>
            <w:bookmarkEnd w:id="8"/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Gender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650608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Method</w:t>
            </w:r>
          </w:p>
        </w:tc>
        <w:tc>
          <w:tcPr>
            <w:tcW w:w="10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A51C9F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20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47F70B" w14:textId="77777777" w:rsidR="00810C90" w:rsidRDefault="00810C9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95% CL Mean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DD67CB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Std Dev</w:t>
            </w:r>
          </w:p>
        </w:tc>
        <w:tc>
          <w:tcPr>
            <w:tcW w:w="1893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E3A7E5" w14:textId="77777777" w:rsidR="00810C90" w:rsidRDefault="00810C9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95% CL Std Dev</w:t>
            </w:r>
          </w:p>
        </w:tc>
      </w:tr>
      <w:tr w:rsidR="00E066D1" w14:paraId="1F70C5CD" w14:textId="77777777" w:rsidTr="00E066D1">
        <w:trPr>
          <w:cantSplit/>
          <w:trHeight w:val="234"/>
        </w:trPr>
        <w:tc>
          <w:tcPr>
            <w:tcW w:w="13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FAF555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Male</w:t>
            </w:r>
          </w:p>
        </w:tc>
        <w:tc>
          <w:tcPr>
            <w:tcW w:w="18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A28703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223C5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52.8242</w:t>
            </w:r>
          </w:p>
        </w:tc>
        <w:tc>
          <w:tcPr>
            <w:tcW w:w="1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246B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50.6360</w:t>
            </w:r>
          </w:p>
        </w:tc>
        <w:tc>
          <w:tcPr>
            <w:tcW w:w="10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014FB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55.0123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198A2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10.5067</w:t>
            </w:r>
          </w:p>
        </w:tc>
        <w:tc>
          <w:tcPr>
            <w:tcW w:w="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94236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9.1706</w:t>
            </w: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7DF6C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12.3022</w:t>
            </w:r>
          </w:p>
        </w:tc>
      </w:tr>
      <w:tr w:rsidR="00E066D1" w14:paraId="1A9EEB81" w14:textId="77777777" w:rsidTr="00E066D1">
        <w:trPr>
          <w:cantSplit/>
          <w:trHeight w:val="234"/>
        </w:trPr>
        <w:tc>
          <w:tcPr>
            <w:tcW w:w="13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61020B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Female</w:t>
            </w:r>
          </w:p>
        </w:tc>
        <w:tc>
          <w:tcPr>
            <w:tcW w:w="18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983F27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BAF3B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51.7339</w:t>
            </w:r>
          </w:p>
        </w:tc>
        <w:tc>
          <w:tcPr>
            <w:tcW w:w="1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E5223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49.8244</w:t>
            </w:r>
          </w:p>
        </w:tc>
        <w:tc>
          <w:tcPr>
            <w:tcW w:w="10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1CB2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53.6435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C5B9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10.0578</w:t>
            </w:r>
          </w:p>
        </w:tc>
        <w:tc>
          <w:tcPr>
            <w:tcW w:w="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3367A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8.8768</w:t>
            </w: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9DD91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11.6043</w:t>
            </w:r>
          </w:p>
        </w:tc>
      </w:tr>
      <w:tr w:rsidR="00E066D1" w14:paraId="262A1776" w14:textId="77777777" w:rsidTr="00E066D1">
        <w:trPr>
          <w:cantSplit/>
          <w:trHeight w:val="242"/>
        </w:trPr>
        <w:tc>
          <w:tcPr>
            <w:tcW w:w="13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BD6FA8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Diff (1-2)</w:t>
            </w:r>
          </w:p>
        </w:tc>
        <w:tc>
          <w:tcPr>
            <w:tcW w:w="18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7157EC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Pooled</w:t>
            </w: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46D50B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1.0902</w:t>
            </w:r>
          </w:p>
        </w:tc>
        <w:tc>
          <w:tcPr>
            <w:tcW w:w="10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7FEC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-1.7840</w:t>
            </w:r>
          </w:p>
        </w:tc>
        <w:tc>
          <w:tcPr>
            <w:tcW w:w="10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A70FAE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3.9645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11872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10.2643</w:t>
            </w:r>
          </w:p>
        </w:tc>
        <w:tc>
          <w:tcPr>
            <w:tcW w:w="8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7B20F7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9.3452</w:t>
            </w: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AC5AF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11.3855</w:t>
            </w:r>
          </w:p>
        </w:tc>
      </w:tr>
      <w:tr w:rsidR="00E066D1" w14:paraId="6799C0E1" w14:textId="77777777" w:rsidTr="00E066D1">
        <w:trPr>
          <w:cantSplit/>
          <w:trHeight w:val="226"/>
        </w:trPr>
        <w:tc>
          <w:tcPr>
            <w:tcW w:w="13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D2D505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Diff (1-2)</w:t>
            </w:r>
          </w:p>
        </w:tc>
        <w:tc>
          <w:tcPr>
            <w:tcW w:w="18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4301C6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Satterthwaite</w:t>
            </w: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7E46A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1.0902</w:t>
            </w:r>
          </w:p>
        </w:tc>
        <w:tc>
          <w:tcPr>
            <w:tcW w:w="102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2AE6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-1.7963</w:t>
            </w:r>
          </w:p>
        </w:tc>
        <w:tc>
          <w:tcPr>
            <w:tcW w:w="10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192425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3.9767</w:t>
            </w:r>
          </w:p>
        </w:tc>
        <w:tc>
          <w:tcPr>
            <w:tcW w:w="112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C75E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436A6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15153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10896EE1" w14:textId="77777777" w:rsidR="00810C90" w:rsidRDefault="00810C9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6"/>
        <w:gridCol w:w="1460"/>
        <w:gridCol w:w="924"/>
        <w:gridCol w:w="1097"/>
        <w:gridCol w:w="1041"/>
      </w:tblGrid>
      <w:tr w:rsidR="00810C90" w14:paraId="3851A77B" w14:textId="77777777" w:rsidTr="00E066D1">
        <w:trPr>
          <w:cantSplit/>
          <w:trHeight w:val="221"/>
          <w:tblHeader/>
          <w:jc w:val="center"/>
        </w:trPr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D79953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bookmarkStart w:id="9" w:name="IDX8"/>
            <w:bookmarkEnd w:id="9"/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Method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21F2C6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Variances</w:t>
            </w:r>
          </w:p>
        </w:tc>
        <w:tc>
          <w:tcPr>
            <w:tcW w:w="9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6B65CD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2D5B71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t Value</w:t>
            </w:r>
          </w:p>
        </w:tc>
        <w:tc>
          <w:tcPr>
            <w:tcW w:w="10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19BC18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Pr &gt; |t|</w:t>
            </w:r>
          </w:p>
        </w:tc>
      </w:tr>
      <w:tr w:rsidR="00810C90" w14:paraId="75F6A4A2" w14:textId="77777777" w:rsidTr="00E066D1">
        <w:trPr>
          <w:cantSplit/>
          <w:trHeight w:val="428"/>
          <w:jc w:val="center"/>
        </w:trPr>
        <w:tc>
          <w:tcPr>
            <w:tcW w:w="192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92ED74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Pooled</w:t>
            </w:r>
          </w:p>
        </w:tc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C57D4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Equal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B22DF2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198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994CC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3E435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0.4553</w:t>
            </w:r>
          </w:p>
        </w:tc>
      </w:tr>
      <w:tr w:rsidR="00810C90" w14:paraId="6DA39D04" w14:textId="77777777" w:rsidTr="00E066D1">
        <w:trPr>
          <w:cantSplit/>
          <w:trHeight w:val="428"/>
          <w:jc w:val="center"/>
        </w:trPr>
        <w:tc>
          <w:tcPr>
            <w:tcW w:w="19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16E3D3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Satterthwaite</w:t>
            </w:r>
          </w:p>
        </w:tc>
        <w:tc>
          <w:tcPr>
            <w:tcW w:w="14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ECAA1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Unequal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20461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188.46</w:t>
            </w:r>
          </w:p>
        </w:tc>
        <w:tc>
          <w:tcPr>
            <w:tcW w:w="10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D1A99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0.75</w:t>
            </w:r>
          </w:p>
        </w:tc>
        <w:tc>
          <w:tcPr>
            <w:tcW w:w="104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62354D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0.4572</w:t>
            </w:r>
          </w:p>
        </w:tc>
      </w:tr>
    </w:tbl>
    <w:p w14:paraId="38CB9EAF" w14:textId="77777777" w:rsidR="00810C90" w:rsidRDefault="00810C90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952"/>
        <w:gridCol w:w="865"/>
        <w:gridCol w:w="879"/>
        <w:gridCol w:w="768"/>
      </w:tblGrid>
      <w:tr w:rsidR="00810C90" w14:paraId="2772E211" w14:textId="77777777">
        <w:trPr>
          <w:cantSplit/>
          <w:tblHeader/>
          <w:jc w:val="center"/>
        </w:trPr>
        <w:tc>
          <w:tcPr>
            <w:tcW w:w="4453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971E52" w14:textId="77777777" w:rsidR="00810C90" w:rsidRDefault="00810C90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bookmarkStart w:id="10" w:name="IDX9"/>
            <w:bookmarkEnd w:id="10"/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Equality of Variances</w:t>
            </w:r>
          </w:p>
        </w:tc>
      </w:tr>
      <w:tr w:rsidR="00810C90" w14:paraId="7306C79D" w14:textId="77777777">
        <w:trPr>
          <w:cantSplit/>
          <w:tblHeader/>
          <w:jc w:val="center"/>
        </w:trPr>
        <w:tc>
          <w:tcPr>
            <w:tcW w:w="9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577B71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Method</w:t>
            </w:r>
          </w:p>
        </w:tc>
        <w:tc>
          <w:tcPr>
            <w:tcW w:w="9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279304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Num DF</w:t>
            </w:r>
          </w:p>
        </w:tc>
        <w:tc>
          <w:tcPr>
            <w:tcW w:w="8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3FC8C3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Den DF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059F2F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B88658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Pr &gt; F</w:t>
            </w:r>
          </w:p>
        </w:tc>
      </w:tr>
      <w:tr w:rsidR="00810C90" w14:paraId="48196392" w14:textId="77777777">
        <w:trPr>
          <w:cantSplit/>
          <w:jc w:val="center"/>
        </w:trPr>
        <w:tc>
          <w:tcPr>
            <w:tcW w:w="9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24D695" w14:textId="77777777" w:rsidR="00810C90" w:rsidRDefault="00810C9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</w:rPr>
              <w:t>Folded F</w:t>
            </w:r>
          </w:p>
        </w:tc>
        <w:tc>
          <w:tcPr>
            <w:tcW w:w="95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48F868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86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E854C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FC9471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1.09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D7991A" w14:textId="77777777" w:rsidR="00810C90" w:rsidRDefault="00810C9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0.6613</w:t>
            </w:r>
          </w:p>
        </w:tc>
      </w:tr>
    </w:tbl>
    <w:p w14:paraId="5487E0C1" w14:textId="77777777" w:rsidR="00810C90" w:rsidRDefault="00810C90">
      <w:pPr>
        <w:adjustRightInd w:val="0"/>
        <w:rPr>
          <w:rFonts w:ascii="Times" w:hAnsi="Times" w:cs="Times"/>
          <w:color w:val="000000"/>
        </w:rPr>
      </w:pPr>
    </w:p>
    <w:p w14:paraId="7BC63C47" w14:textId="37018552" w:rsidR="00810C90" w:rsidRDefault="00526A3E">
      <w:pPr>
        <w:adjustRightInd w:val="0"/>
        <w:jc w:val="center"/>
        <w:rPr>
          <w:szCs w:val="24"/>
        </w:rPr>
      </w:pPr>
      <w:bookmarkStart w:id="11" w:name="IDX10"/>
      <w:bookmarkEnd w:id="11"/>
      <w:r>
        <w:rPr>
          <w:noProof/>
          <w:szCs w:val="24"/>
        </w:rPr>
        <w:lastRenderedPageBreak/>
        <w:pict w14:anchorId="287D1739">
          <v:shape id="_x0000_i1027" type="#_x0000_t75" style="width:286.5pt;height:3in">
            <v:imagedata r:id="rId12" o:title=""/>
          </v:shape>
        </w:pict>
      </w:r>
    </w:p>
    <w:p w14:paraId="7F036CC5" w14:textId="77777777" w:rsidR="00810C90" w:rsidRDefault="00810C90">
      <w:pPr>
        <w:adjustRightInd w:val="0"/>
        <w:jc w:val="center"/>
        <w:rPr>
          <w:szCs w:val="24"/>
        </w:rPr>
      </w:pPr>
    </w:p>
    <w:p w14:paraId="1DA3F5DE" w14:textId="12606E34" w:rsidR="00810C90" w:rsidRDefault="00526A3E">
      <w:pPr>
        <w:adjustRightInd w:val="0"/>
        <w:jc w:val="center"/>
        <w:rPr>
          <w:szCs w:val="24"/>
        </w:rPr>
      </w:pPr>
      <w:bookmarkStart w:id="12" w:name="IDX11"/>
      <w:bookmarkEnd w:id="12"/>
      <w:r>
        <w:rPr>
          <w:noProof/>
          <w:szCs w:val="24"/>
        </w:rPr>
        <w:pict w14:anchorId="61F0ABFD">
          <v:shape id="_x0000_i1028" type="#_x0000_t75" style="width:370pt;height:208.5pt">
            <v:imagedata r:id="rId13" o:title=""/>
          </v:shape>
        </w:pict>
      </w:r>
    </w:p>
    <w:p w14:paraId="3BA4CA38" w14:textId="77777777" w:rsidR="008952A2" w:rsidRDefault="008952A2" w:rsidP="00D50621">
      <w:pPr>
        <w:tabs>
          <w:tab w:val="left" w:pos="3546"/>
        </w:tabs>
        <w:spacing w:after="0" w:line="480" w:lineRule="auto"/>
        <w:jc w:val="center"/>
        <w:rPr>
          <w:rStyle w:val="fnt0"/>
          <w:rFonts w:cs="Times New Roman"/>
          <w:bCs/>
          <w:szCs w:val="24"/>
        </w:rPr>
      </w:pPr>
    </w:p>
    <w:p w14:paraId="49D7DB86" w14:textId="7B00F817" w:rsidR="008952A2" w:rsidRDefault="008952A2" w:rsidP="00D50621">
      <w:pPr>
        <w:tabs>
          <w:tab w:val="left" w:pos="3546"/>
        </w:tabs>
        <w:spacing w:after="0" w:line="480" w:lineRule="auto"/>
        <w:jc w:val="center"/>
        <w:rPr>
          <w:rStyle w:val="fnt0"/>
          <w:rFonts w:cs="Times New Roman"/>
          <w:bCs/>
          <w:szCs w:val="24"/>
        </w:rPr>
      </w:pPr>
    </w:p>
    <w:p w14:paraId="6F3A8F33" w14:textId="349499AE" w:rsidR="00E6237A" w:rsidRDefault="00E6237A" w:rsidP="00D50621">
      <w:pPr>
        <w:tabs>
          <w:tab w:val="left" w:pos="3546"/>
        </w:tabs>
        <w:spacing w:after="0" w:line="480" w:lineRule="auto"/>
        <w:jc w:val="center"/>
        <w:rPr>
          <w:rStyle w:val="fnt0"/>
          <w:rFonts w:cs="Times New Roman"/>
          <w:bCs/>
          <w:szCs w:val="24"/>
        </w:rPr>
      </w:pPr>
    </w:p>
    <w:p w14:paraId="43D86F51" w14:textId="61335EB9" w:rsidR="00E6237A" w:rsidRDefault="00E6237A" w:rsidP="00D50621">
      <w:pPr>
        <w:tabs>
          <w:tab w:val="left" w:pos="3546"/>
        </w:tabs>
        <w:spacing w:after="0" w:line="480" w:lineRule="auto"/>
        <w:jc w:val="center"/>
        <w:rPr>
          <w:rStyle w:val="fnt0"/>
          <w:rFonts w:cs="Times New Roman"/>
          <w:bCs/>
          <w:szCs w:val="24"/>
        </w:rPr>
      </w:pPr>
    </w:p>
    <w:p w14:paraId="0AC5D96B" w14:textId="63329B29" w:rsidR="00E6237A" w:rsidRDefault="00E6237A" w:rsidP="00D50621">
      <w:pPr>
        <w:tabs>
          <w:tab w:val="left" w:pos="3546"/>
        </w:tabs>
        <w:spacing w:after="0" w:line="480" w:lineRule="auto"/>
        <w:jc w:val="center"/>
        <w:rPr>
          <w:rStyle w:val="fnt0"/>
          <w:rFonts w:cs="Times New Roman"/>
          <w:bCs/>
          <w:szCs w:val="24"/>
        </w:rPr>
      </w:pPr>
    </w:p>
    <w:p w14:paraId="27776410" w14:textId="77777777" w:rsidR="00E6237A" w:rsidRDefault="00E6237A" w:rsidP="00D50621">
      <w:pPr>
        <w:tabs>
          <w:tab w:val="left" w:pos="3546"/>
        </w:tabs>
        <w:spacing w:after="0" w:line="480" w:lineRule="auto"/>
        <w:jc w:val="center"/>
        <w:rPr>
          <w:rStyle w:val="fnt0"/>
          <w:rFonts w:cs="Times New Roman"/>
          <w:bCs/>
          <w:szCs w:val="24"/>
        </w:rPr>
      </w:pPr>
    </w:p>
    <w:p w14:paraId="18C58443" w14:textId="77777777" w:rsidR="008952A2" w:rsidRDefault="008952A2" w:rsidP="00D50621">
      <w:pPr>
        <w:tabs>
          <w:tab w:val="left" w:pos="3546"/>
        </w:tabs>
        <w:spacing w:after="0" w:line="480" w:lineRule="auto"/>
        <w:jc w:val="center"/>
        <w:rPr>
          <w:rStyle w:val="fnt0"/>
          <w:rFonts w:cs="Times New Roman"/>
          <w:bCs/>
          <w:szCs w:val="24"/>
        </w:rPr>
      </w:pPr>
    </w:p>
    <w:p w14:paraId="340B7BC3" w14:textId="3A260AB3" w:rsidR="00E85F0F" w:rsidRDefault="001B2861" w:rsidP="00D50621">
      <w:pPr>
        <w:tabs>
          <w:tab w:val="left" w:pos="3546"/>
        </w:tabs>
        <w:spacing w:after="0" w:line="480" w:lineRule="auto"/>
        <w:jc w:val="center"/>
        <w:rPr>
          <w:rStyle w:val="fnt0"/>
          <w:rFonts w:cs="Times New Roman"/>
          <w:bCs/>
          <w:szCs w:val="24"/>
        </w:rPr>
      </w:pPr>
      <w:r>
        <w:rPr>
          <w:rStyle w:val="fnt0"/>
          <w:rFonts w:cs="Times New Roman"/>
          <w:bCs/>
          <w:szCs w:val="24"/>
        </w:rPr>
        <w:lastRenderedPageBreak/>
        <w:t>References</w:t>
      </w:r>
    </w:p>
    <w:p w14:paraId="78D7CE15" w14:textId="3577568A" w:rsidR="002A489D" w:rsidRDefault="00F9374F" w:rsidP="00F9374F">
      <w:pPr>
        <w:tabs>
          <w:tab w:val="left" w:pos="3546"/>
        </w:tabs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proofErr w:type="spellStart"/>
      <w:r w:rsidRPr="00F9374F">
        <w:rPr>
          <w:rStyle w:val="fnt0"/>
          <w:rFonts w:cs="Times New Roman"/>
          <w:bCs/>
          <w:szCs w:val="24"/>
        </w:rPr>
        <w:t>Alhussein</w:t>
      </w:r>
      <w:proofErr w:type="spellEnd"/>
      <w:r w:rsidRPr="00F9374F">
        <w:rPr>
          <w:rStyle w:val="fnt0"/>
          <w:rFonts w:cs="Times New Roman"/>
          <w:bCs/>
          <w:szCs w:val="24"/>
        </w:rPr>
        <w:t xml:space="preserve">, M., Muhammad, G., Hossain, M. S., &amp; Amin, S. U. (2018). Cognitive IoT-Cloud Integration for Smart Healthcare: Case Study for Epileptic Seizure Detection and Monitoring. Mobile Networks and Applications; New York, 23(6), 1624–1635. </w:t>
      </w:r>
      <w:hyperlink r:id="rId14" w:history="1">
        <w:r w:rsidR="001F367E" w:rsidRPr="00A27BDF">
          <w:rPr>
            <w:rStyle w:val="Hyperlink"/>
            <w:rFonts w:cs="Times New Roman"/>
            <w:bCs/>
            <w:szCs w:val="24"/>
            <w:shd w:val="clear" w:color="auto" w:fill="FFFFFF"/>
          </w:rPr>
          <w:t>http://dx.doi.org.csuglobal.idm.oclc.org/10.1007/s11036-018-1113-0</w:t>
        </w:r>
      </w:hyperlink>
    </w:p>
    <w:p w14:paraId="1D12F37F" w14:textId="1508FDD5" w:rsidR="00DA734A" w:rsidRDefault="00DA734A" w:rsidP="00F9374F">
      <w:pPr>
        <w:tabs>
          <w:tab w:val="left" w:pos="3546"/>
        </w:tabs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proofErr w:type="spellStart"/>
      <w:r w:rsidRPr="00DA734A">
        <w:rPr>
          <w:rStyle w:val="fnt0"/>
          <w:rFonts w:cs="Times New Roman"/>
          <w:bCs/>
          <w:szCs w:val="24"/>
        </w:rPr>
        <w:t>Clim</w:t>
      </w:r>
      <w:proofErr w:type="spellEnd"/>
      <w:r w:rsidRPr="00DA734A">
        <w:rPr>
          <w:rStyle w:val="fnt0"/>
          <w:rFonts w:cs="Times New Roman"/>
          <w:bCs/>
          <w:szCs w:val="24"/>
        </w:rPr>
        <w:t xml:space="preserve">, A., </w:t>
      </w:r>
      <w:proofErr w:type="spellStart"/>
      <w:r w:rsidRPr="00DA734A">
        <w:rPr>
          <w:rStyle w:val="fnt0"/>
          <w:rFonts w:cs="Times New Roman"/>
          <w:bCs/>
          <w:szCs w:val="24"/>
        </w:rPr>
        <w:t>Zota</w:t>
      </w:r>
      <w:proofErr w:type="spellEnd"/>
      <w:r w:rsidRPr="00DA734A">
        <w:rPr>
          <w:rStyle w:val="fnt0"/>
          <w:rFonts w:cs="Times New Roman"/>
          <w:bCs/>
          <w:szCs w:val="24"/>
        </w:rPr>
        <w:t xml:space="preserve">, R. D., &amp; </w:t>
      </w:r>
      <w:proofErr w:type="spellStart"/>
      <w:r w:rsidRPr="00DA734A">
        <w:rPr>
          <w:rStyle w:val="fnt0"/>
          <w:rFonts w:cs="Times New Roman"/>
          <w:bCs/>
          <w:szCs w:val="24"/>
        </w:rPr>
        <w:t>Tinica</w:t>
      </w:r>
      <w:proofErr w:type="spellEnd"/>
      <w:r w:rsidRPr="00DA734A">
        <w:rPr>
          <w:rStyle w:val="fnt0"/>
          <w:rFonts w:cs="Times New Roman"/>
          <w:bCs/>
          <w:szCs w:val="24"/>
        </w:rPr>
        <w:t xml:space="preserve">, G. (2019). Big Data in home healthcare: A new frontier in personalized medicine. Medical emergency services and prediction of hypertension risks. International Journal of Healthcare Management, 12(3), 241–249. </w:t>
      </w:r>
      <w:hyperlink r:id="rId15" w:history="1">
        <w:r w:rsidR="00653004" w:rsidRPr="00A27BDF">
          <w:rPr>
            <w:rStyle w:val="Hyperlink"/>
            <w:rFonts w:cs="Times New Roman"/>
            <w:bCs/>
            <w:szCs w:val="24"/>
            <w:shd w:val="clear" w:color="auto" w:fill="FFFFFF"/>
          </w:rPr>
          <w:t>https://doi.org/10.1080/20479700.2018.1548158</w:t>
        </w:r>
      </w:hyperlink>
    </w:p>
    <w:p w14:paraId="14FE7FC4" w14:textId="4BE63A27" w:rsidR="00F834E6" w:rsidRDefault="00F834E6" w:rsidP="00F9374F">
      <w:pPr>
        <w:tabs>
          <w:tab w:val="left" w:pos="3546"/>
        </w:tabs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r w:rsidRPr="00F834E6">
        <w:rPr>
          <w:rStyle w:val="fnt0"/>
          <w:rFonts w:cs="Times New Roman"/>
          <w:bCs/>
          <w:szCs w:val="24"/>
        </w:rPr>
        <w:t>Elliott, A. C., &amp; Woodward, W. A. (2016). SAS essentials: Mastering SAS for data analytics (Second edition). Hoboken, New Jersey: John Wiley and Sons, Inc.</w:t>
      </w:r>
    </w:p>
    <w:p w14:paraId="313D5373" w14:textId="40488DDB" w:rsidR="009532C3" w:rsidRPr="00A545ED" w:rsidRDefault="00A545ED" w:rsidP="00A545ED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proofErr w:type="spellStart"/>
      <w:r w:rsidRPr="009F4FFD">
        <w:rPr>
          <w:rStyle w:val="fnt0"/>
          <w:rFonts w:cs="Times New Roman"/>
          <w:szCs w:val="24"/>
        </w:rPr>
        <w:t>Hindia</w:t>
      </w:r>
      <w:proofErr w:type="spellEnd"/>
      <w:r w:rsidRPr="009F4FFD">
        <w:rPr>
          <w:rStyle w:val="fnt0"/>
          <w:rFonts w:cs="Times New Roman"/>
          <w:szCs w:val="24"/>
        </w:rPr>
        <w:t xml:space="preserve">, M. N., Rahman, T. A., Ojukwu, H., Hanafi, E. B., &amp; Fattouh, A. (2016). Enabling Remote Health-Caring Utilizing IoT Concept over LTE-Femtocell Networks. </w:t>
      </w:r>
      <w:proofErr w:type="spellStart"/>
      <w:r w:rsidRPr="009F4FFD">
        <w:rPr>
          <w:rStyle w:val="fnt0"/>
          <w:rFonts w:cs="Times New Roman"/>
          <w:szCs w:val="24"/>
        </w:rPr>
        <w:t>PLoS</w:t>
      </w:r>
      <w:proofErr w:type="spellEnd"/>
      <w:r w:rsidRPr="009F4FFD">
        <w:rPr>
          <w:rStyle w:val="fnt0"/>
          <w:rFonts w:cs="Times New Roman"/>
          <w:szCs w:val="24"/>
        </w:rPr>
        <w:t xml:space="preserve"> ONE, 11(5), 1–17. https://doi.org/10.1371/journal.pone.0155077</w:t>
      </w:r>
    </w:p>
    <w:p w14:paraId="3D664A43" w14:textId="6CA92D57" w:rsidR="001B2861" w:rsidRDefault="001B2861" w:rsidP="00991946">
      <w:pPr>
        <w:tabs>
          <w:tab w:val="left" w:pos="3546"/>
        </w:tabs>
        <w:spacing w:after="0" w:line="480" w:lineRule="auto"/>
        <w:ind w:left="720" w:hanging="720"/>
        <w:rPr>
          <w:rStyle w:val="fnt0"/>
          <w:rFonts w:cs="Times New Roman"/>
          <w:bCs/>
          <w:szCs w:val="24"/>
        </w:rPr>
      </w:pPr>
      <w:r w:rsidRPr="001B2861">
        <w:rPr>
          <w:rStyle w:val="fnt0"/>
          <w:rFonts w:cs="Times New Roman"/>
          <w:bCs/>
          <w:szCs w:val="24"/>
        </w:rPr>
        <w:t>Khanna, A. B., &amp; Narula, S. A. (2016). Mobile health units: Mobilizing healthcare to reach unreachable. International Journal of Healthcare Management, 9(1), 58–66. https://doi.org/10.1080/20479700.2015.1101915</w:t>
      </w:r>
    </w:p>
    <w:p w14:paraId="1C91CB68" w14:textId="1EAB5846" w:rsidR="003A6992" w:rsidRDefault="001077C9" w:rsidP="003E5A39">
      <w:pPr>
        <w:spacing w:after="0" w:line="480" w:lineRule="auto"/>
        <w:rPr>
          <w:rStyle w:val="fnt0"/>
          <w:rFonts w:cs="Times New Roman"/>
          <w:szCs w:val="24"/>
        </w:rPr>
      </w:pPr>
      <w:r w:rsidRPr="001077C9">
        <w:rPr>
          <w:rStyle w:val="fnt0"/>
          <w:rFonts w:cs="Times New Roman"/>
          <w:szCs w:val="24"/>
        </w:rPr>
        <w:t xml:space="preserve">Mare, S., &amp; </w:t>
      </w:r>
      <w:proofErr w:type="spellStart"/>
      <w:r w:rsidRPr="001077C9">
        <w:rPr>
          <w:rStyle w:val="fnt0"/>
          <w:rFonts w:cs="Times New Roman"/>
          <w:szCs w:val="24"/>
        </w:rPr>
        <w:t>Kotz</w:t>
      </w:r>
      <w:proofErr w:type="spellEnd"/>
      <w:r w:rsidRPr="001077C9">
        <w:rPr>
          <w:rStyle w:val="fnt0"/>
          <w:rFonts w:cs="Times New Roman"/>
          <w:szCs w:val="24"/>
        </w:rPr>
        <w:t>, D. (2010). Is Bluetooth the right technology for mHealth?</w:t>
      </w:r>
    </w:p>
    <w:p w14:paraId="2E66399E" w14:textId="52B92BF9" w:rsidR="003403A9" w:rsidRDefault="003403A9" w:rsidP="003403A9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3403A9">
        <w:rPr>
          <w:rStyle w:val="fnt0"/>
          <w:rFonts w:cs="Times New Roman"/>
          <w:szCs w:val="24"/>
        </w:rPr>
        <w:t>Module 2: Critical Thinking. (n.d.). Retrieved December 22, 2019, from https://csuglobal.instructure.com/courses/16501/assignments/332789</w:t>
      </w:r>
    </w:p>
    <w:p w14:paraId="673903E9" w14:textId="002FF5CD" w:rsidR="001F367E" w:rsidRDefault="001F367E" w:rsidP="001F367E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proofErr w:type="spellStart"/>
      <w:r w:rsidRPr="001F367E">
        <w:rPr>
          <w:rStyle w:val="fnt0"/>
          <w:rFonts w:cs="Times New Roman"/>
          <w:szCs w:val="24"/>
        </w:rPr>
        <w:t>Rahmani</w:t>
      </w:r>
      <w:proofErr w:type="spellEnd"/>
      <w:r w:rsidRPr="001F367E">
        <w:rPr>
          <w:rStyle w:val="fnt0"/>
          <w:rFonts w:cs="Times New Roman"/>
          <w:szCs w:val="24"/>
        </w:rPr>
        <w:t xml:space="preserve">, A. M., Gia, T. N., </w:t>
      </w:r>
      <w:proofErr w:type="spellStart"/>
      <w:r w:rsidRPr="001F367E">
        <w:rPr>
          <w:rStyle w:val="fnt0"/>
          <w:rFonts w:cs="Times New Roman"/>
          <w:szCs w:val="24"/>
        </w:rPr>
        <w:t>Negash</w:t>
      </w:r>
      <w:proofErr w:type="spellEnd"/>
      <w:r w:rsidRPr="001F367E">
        <w:rPr>
          <w:rStyle w:val="fnt0"/>
          <w:rFonts w:cs="Times New Roman"/>
          <w:szCs w:val="24"/>
        </w:rPr>
        <w:t xml:space="preserve">, B., </w:t>
      </w:r>
      <w:proofErr w:type="spellStart"/>
      <w:r w:rsidRPr="001F367E">
        <w:rPr>
          <w:rStyle w:val="fnt0"/>
          <w:rFonts w:cs="Times New Roman"/>
          <w:szCs w:val="24"/>
        </w:rPr>
        <w:t>Anzanpour</w:t>
      </w:r>
      <w:proofErr w:type="spellEnd"/>
      <w:r w:rsidRPr="001F367E">
        <w:rPr>
          <w:rStyle w:val="fnt0"/>
          <w:rFonts w:cs="Times New Roman"/>
          <w:szCs w:val="24"/>
        </w:rPr>
        <w:t xml:space="preserve">, A., </w:t>
      </w:r>
      <w:proofErr w:type="spellStart"/>
      <w:r w:rsidRPr="001F367E">
        <w:rPr>
          <w:rStyle w:val="fnt0"/>
          <w:rFonts w:cs="Times New Roman"/>
          <w:szCs w:val="24"/>
        </w:rPr>
        <w:t>Azimi</w:t>
      </w:r>
      <w:proofErr w:type="spellEnd"/>
      <w:r w:rsidRPr="001F367E">
        <w:rPr>
          <w:rStyle w:val="fnt0"/>
          <w:rFonts w:cs="Times New Roman"/>
          <w:szCs w:val="24"/>
        </w:rPr>
        <w:t xml:space="preserve">, I., Jiang, M., &amp; </w:t>
      </w:r>
      <w:proofErr w:type="spellStart"/>
      <w:r w:rsidRPr="001F367E">
        <w:rPr>
          <w:rStyle w:val="fnt0"/>
          <w:rFonts w:cs="Times New Roman"/>
          <w:szCs w:val="24"/>
        </w:rPr>
        <w:t>Liljeberg</w:t>
      </w:r>
      <w:proofErr w:type="spellEnd"/>
      <w:r w:rsidRPr="001F367E">
        <w:rPr>
          <w:rStyle w:val="fnt0"/>
          <w:rFonts w:cs="Times New Roman"/>
          <w:szCs w:val="24"/>
        </w:rPr>
        <w:t xml:space="preserve">, P. (2018). Exploiting smart e-Health gateways at the edge of healthcare Internet-of-Things: </w:t>
      </w:r>
      <w:r w:rsidRPr="001F367E">
        <w:rPr>
          <w:rStyle w:val="fnt0"/>
          <w:rFonts w:cs="Times New Roman"/>
          <w:szCs w:val="24"/>
        </w:rPr>
        <w:lastRenderedPageBreak/>
        <w:t xml:space="preserve">A fog computing approach. Future Generation Computer Systems, 78, 641–658. </w:t>
      </w:r>
      <w:hyperlink r:id="rId16" w:history="1">
        <w:r w:rsidR="00294D55" w:rsidRPr="00A27BDF">
          <w:rPr>
            <w:rStyle w:val="Hyperlink"/>
            <w:rFonts w:cs="Times New Roman"/>
            <w:szCs w:val="24"/>
            <w:shd w:val="clear" w:color="auto" w:fill="FFFFFF"/>
          </w:rPr>
          <w:t>https://doi.org/10.1016/j.future.2017.02.014</w:t>
        </w:r>
      </w:hyperlink>
    </w:p>
    <w:p w14:paraId="05022C27" w14:textId="06FB6707" w:rsidR="00294D55" w:rsidRDefault="00294D55" w:rsidP="001F367E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294D55">
        <w:rPr>
          <w:rStyle w:val="fnt0"/>
          <w:rFonts w:cs="Times New Roman"/>
          <w:szCs w:val="24"/>
        </w:rPr>
        <w:t>Ravi, A. R., &amp; Nair, R. R. (2019). Cybersecurity Threats and Solutions in the Current E-Healthcare Environment: A Situational Analysis. Medico-Legal Update, 19(2), 141–144. https://doi.org/10.5958/0974-1283.2019.00161.0</w:t>
      </w:r>
    </w:p>
    <w:p w14:paraId="26C702B3" w14:textId="61310B23" w:rsidR="00FD1F25" w:rsidRDefault="00FD1F25" w:rsidP="00FD1F25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FD1F25">
        <w:rPr>
          <w:rStyle w:val="fnt0"/>
          <w:rFonts w:cs="Times New Roman"/>
          <w:szCs w:val="24"/>
        </w:rPr>
        <w:t xml:space="preserve">Talari, S., </w:t>
      </w:r>
      <w:proofErr w:type="spellStart"/>
      <w:r w:rsidRPr="00FD1F25">
        <w:rPr>
          <w:rStyle w:val="fnt0"/>
          <w:rFonts w:cs="Times New Roman"/>
          <w:szCs w:val="24"/>
        </w:rPr>
        <w:t>Shafie-khah</w:t>
      </w:r>
      <w:proofErr w:type="spellEnd"/>
      <w:r w:rsidRPr="00FD1F25">
        <w:rPr>
          <w:rStyle w:val="fnt0"/>
          <w:rFonts w:cs="Times New Roman"/>
          <w:szCs w:val="24"/>
        </w:rPr>
        <w:t xml:space="preserve">, M., </w:t>
      </w:r>
      <w:proofErr w:type="spellStart"/>
      <w:r w:rsidRPr="00FD1F25">
        <w:rPr>
          <w:rStyle w:val="fnt0"/>
          <w:rFonts w:cs="Times New Roman"/>
          <w:szCs w:val="24"/>
        </w:rPr>
        <w:t>Siano</w:t>
      </w:r>
      <w:proofErr w:type="spellEnd"/>
      <w:r w:rsidRPr="00FD1F25">
        <w:rPr>
          <w:rStyle w:val="fnt0"/>
          <w:rFonts w:cs="Times New Roman"/>
          <w:szCs w:val="24"/>
        </w:rPr>
        <w:t xml:space="preserve">, P., </w:t>
      </w:r>
      <w:proofErr w:type="spellStart"/>
      <w:r w:rsidRPr="00FD1F25">
        <w:rPr>
          <w:rStyle w:val="fnt0"/>
          <w:rFonts w:cs="Times New Roman"/>
          <w:szCs w:val="24"/>
        </w:rPr>
        <w:t>Loia</w:t>
      </w:r>
      <w:proofErr w:type="spellEnd"/>
      <w:r w:rsidRPr="00FD1F25">
        <w:rPr>
          <w:rStyle w:val="fnt0"/>
          <w:rFonts w:cs="Times New Roman"/>
          <w:szCs w:val="24"/>
        </w:rPr>
        <w:t xml:space="preserve">, V., </w:t>
      </w:r>
      <w:proofErr w:type="spellStart"/>
      <w:r w:rsidRPr="00FD1F25">
        <w:rPr>
          <w:rStyle w:val="fnt0"/>
          <w:rFonts w:cs="Times New Roman"/>
          <w:szCs w:val="24"/>
        </w:rPr>
        <w:t>Tommasetti</w:t>
      </w:r>
      <w:proofErr w:type="spellEnd"/>
      <w:r w:rsidRPr="00FD1F25">
        <w:rPr>
          <w:rStyle w:val="fnt0"/>
          <w:rFonts w:cs="Times New Roman"/>
          <w:szCs w:val="24"/>
        </w:rPr>
        <w:t xml:space="preserve">, A., &amp; </w:t>
      </w:r>
      <w:proofErr w:type="spellStart"/>
      <w:r w:rsidRPr="00FD1F25">
        <w:rPr>
          <w:rStyle w:val="fnt0"/>
          <w:rFonts w:cs="Times New Roman"/>
          <w:szCs w:val="24"/>
        </w:rPr>
        <w:t>Catalão</w:t>
      </w:r>
      <w:proofErr w:type="spellEnd"/>
      <w:r w:rsidRPr="00FD1F25">
        <w:rPr>
          <w:rStyle w:val="fnt0"/>
          <w:rFonts w:cs="Times New Roman"/>
          <w:szCs w:val="24"/>
        </w:rPr>
        <w:t xml:space="preserve">, J. P. S. (2017). A Review of Smart Cities Based on the Internet of Things Concept. Energies; Basel, 10(4), 421. </w:t>
      </w:r>
      <w:hyperlink r:id="rId17" w:history="1">
        <w:r w:rsidR="00415178" w:rsidRPr="00A27BDF">
          <w:rPr>
            <w:rStyle w:val="Hyperlink"/>
            <w:rFonts w:cs="Times New Roman"/>
            <w:szCs w:val="24"/>
            <w:shd w:val="clear" w:color="auto" w:fill="FFFFFF"/>
          </w:rPr>
          <w:t>http://dx.doi.org.csuglobal.idm.oclc.org/10.3390/en10040421</w:t>
        </w:r>
      </w:hyperlink>
    </w:p>
    <w:p w14:paraId="5C81EA8D" w14:textId="0953CF41" w:rsidR="00BE0DB3" w:rsidRDefault="00BE0DB3" w:rsidP="00327246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BE0DB3">
        <w:rPr>
          <w:rStyle w:val="fnt0"/>
          <w:rFonts w:cs="Times New Roman"/>
          <w:szCs w:val="24"/>
        </w:rPr>
        <w:t xml:space="preserve">Writer, G. (2018, September 25). How to Secure Your IoT Devices With a VPN. Retrieved December </w:t>
      </w:r>
      <w:r w:rsidR="00437232">
        <w:rPr>
          <w:rStyle w:val="fnt0"/>
          <w:rFonts w:cs="Times New Roman"/>
          <w:szCs w:val="24"/>
        </w:rPr>
        <w:t>17</w:t>
      </w:r>
      <w:r w:rsidRPr="00BE0DB3">
        <w:rPr>
          <w:rStyle w:val="fnt0"/>
          <w:rFonts w:cs="Times New Roman"/>
          <w:szCs w:val="24"/>
        </w:rPr>
        <w:t xml:space="preserve">, 2019, from IoT For All website: </w:t>
      </w:r>
      <w:hyperlink r:id="rId18" w:history="1">
        <w:r w:rsidR="005E201F" w:rsidRPr="00A27BDF">
          <w:rPr>
            <w:rStyle w:val="Hyperlink"/>
            <w:rFonts w:cs="Times New Roman"/>
            <w:szCs w:val="24"/>
            <w:shd w:val="clear" w:color="auto" w:fill="FFFFFF"/>
          </w:rPr>
          <w:t>https://www.iotforall.com/secure-iot-devices-vpn/</w:t>
        </w:r>
      </w:hyperlink>
    </w:p>
    <w:p w14:paraId="7FBB0448" w14:textId="76B6D4D8" w:rsidR="005E201F" w:rsidRDefault="005E201F" w:rsidP="00327246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5E201F">
        <w:rPr>
          <w:rStyle w:val="fnt0"/>
          <w:rFonts w:cs="Times New Roman"/>
          <w:szCs w:val="24"/>
        </w:rPr>
        <w:t>Xu, B., Xu, L., Cai, H., Jiang, L., Luo, Y., &amp; Gu, Y. (2017). The design of an m-Health monitoring system based on a cloud computing platform. Enterprise Information Systems, 11(1), 17–36. https://doi.org/10.1080/17517575.2015.1053416</w:t>
      </w:r>
    </w:p>
    <w:p w14:paraId="441B3E7C" w14:textId="20E436E2" w:rsidR="009F4FFD" w:rsidRDefault="009F4FFD" w:rsidP="003E5A39">
      <w:pPr>
        <w:spacing w:after="0" w:line="480" w:lineRule="auto"/>
        <w:rPr>
          <w:rStyle w:val="fnt0"/>
          <w:rFonts w:cs="Times New Roman"/>
          <w:szCs w:val="24"/>
        </w:rPr>
      </w:pPr>
    </w:p>
    <w:sectPr w:rsidR="009F4FFD" w:rsidSect="003E5A39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C5528" w14:textId="77777777" w:rsidR="00885E00" w:rsidRDefault="00885E00" w:rsidP="005F3F88">
      <w:pPr>
        <w:spacing w:after="0" w:line="240" w:lineRule="auto"/>
      </w:pPr>
      <w:r>
        <w:separator/>
      </w:r>
    </w:p>
  </w:endnote>
  <w:endnote w:type="continuationSeparator" w:id="0">
    <w:p w14:paraId="09818796" w14:textId="77777777" w:rsidR="00885E00" w:rsidRDefault="00885E00" w:rsidP="005F3F88">
      <w:pPr>
        <w:spacing w:after="0" w:line="240" w:lineRule="auto"/>
      </w:pPr>
      <w:r>
        <w:continuationSeparator/>
      </w:r>
    </w:p>
  </w:endnote>
  <w:endnote w:type="continuationNotice" w:id="1">
    <w:p w14:paraId="7DF46B8F" w14:textId="77777777" w:rsidR="00885E00" w:rsidRDefault="00885E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59A88" w14:textId="77777777" w:rsidR="00810C90" w:rsidRPr="00E066D1" w:rsidRDefault="00810C90" w:rsidP="00E0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6DEE7" w14:textId="77777777" w:rsidR="00885E00" w:rsidRDefault="00885E00" w:rsidP="005F3F88">
      <w:pPr>
        <w:spacing w:after="0" w:line="240" w:lineRule="auto"/>
      </w:pPr>
      <w:r>
        <w:separator/>
      </w:r>
    </w:p>
  </w:footnote>
  <w:footnote w:type="continuationSeparator" w:id="0">
    <w:p w14:paraId="6FD23D71" w14:textId="77777777" w:rsidR="00885E00" w:rsidRDefault="00885E00" w:rsidP="005F3F88">
      <w:pPr>
        <w:spacing w:after="0" w:line="240" w:lineRule="auto"/>
      </w:pPr>
      <w:r>
        <w:continuationSeparator/>
      </w:r>
    </w:p>
  </w:footnote>
  <w:footnote w:type="continuationNotice" w:id="1">
    <w:p w14:paraId="69CDE6EA" w14:textId="77777777" w:rsidR="00885E00" w:rsidRDefault="00885E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9938" w14:textId="00973009" w:rsidR="005F3F88" w:rsidRDefault="001778BC" w:rsidP="005F3F88">
    <w:pPr>
      <w:pStyle w:val="Header"/>
    </w:pPr>
    <w:r>
      <w:t>HEALTHCARE BI USE CASE</w:t>
    </w:r>
    <w:r w:rsidR="005F3F88">
      <w:tab/>
    </w:r>
    <w:r w:rsidR="005F3F88">
      <w:tab/>
    </w:r>
    <w:sdt>
      <w:sdtPr>
        <w:id w:val="-9031361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F3F88">
          <w:fldChar w:fldCharType="begin"/>
        </w:r>
        <w:r w:rsidR="005F3F88">
          <w:instrText xml:space="preserve"> PAGE   \* MERGEFORMAT </w:instrText>
        </w:r>
        <w:r w:rsidR="005F3F88">
          <w:fldChar w:fldCharType="separate"/>
        </w:r>
        <w:r w:rsidR="005F3F88">
          <w:rPr>
            <w:noProof/>
          </w:rPr>
          <w:t>2</w:t>
        </w:r>
        <w:r w:rsidR="005F3F88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50F1" w14:textId="10EE34EB" w:rsidR="005F3F88" w:rsidRDefault="005F3F88" w:rsidP="005F3F88">
    <w:pPr>
      <w:pStyle w:val="Header"/>
    </w:pPr>
    <w:r>
      <w:t xml:space="preserve">Running head: </w:t>
    </w:r>
    <w:r w:rsidR="00AB76E8">
      <w:t>HEALTHCARE BI USE CASE</w:t>
    </w:r>
    <w:r w:rsidR="00AB76E8">
      <w:tab/>
    </w:r>
    <w:r>
      <w:tab/>
    </w:r>
    <w:sdt>
      <w:sdtPr>
        <w:id w:val="1686017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E1B1" w14:textId="7526BC0A" w:rsidR="00BF045A" w:rsidRDefault="003D5497">
    <w:pPr>
      <w:pStyle w:val="Header"/>
      <w:jc w:val="right"/>
    </w:pPr>
    <w:r>
      <w:t>HEALTHCARE BI USE</w:t>
    </w:r>
    <w:r w:rsidR="00007F2C">
      <w:t xml:space="preserve"> </w:t>
    </w:r>
    <w:r>
      <w:t>CASE</w:t>
    </w:r>
    <w:r>
      <w:tab/>
    </w:r>
    <w:r>
      <w:tab/>
    </w:r>
    <w:sdt>
      <w:sdtPr>
        <w:id w:val="164200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F045A">
          <w:fldChar w:fldCharType="begin"/>
        </w:r>
        <w:r w:rsidR="00BF045A">
          <w:instrText xml:space="preserve"> PAGE   \* MERGEFORMAT </w:instrText>
        </w:r>
        <w:r w:rsidR="00BF045A">
          <w:fldChar w:fldCharType="separate"/>
        </w:r>
        <w:r w:rsidR="00BF045A">
          <w:rPr>
            <w:noProof/>
          </w:rPr>
          <w:t>2</w:t>
        </w:r>
        <w:r w:rsidR="00BF045A">
          <w:rPr>
            <w:noProof/>
          </w:rPr>
          <w:fldChar w:fldCharType="end"/>
        </w:r>
      </w:sdtContent>
    </w:sdt>
  </w:p>
  <w:p w14:paraId="4CD6AD06" w14:textId="77777777" w:rsidR="00810C90" w:rsidRPr="00E066D1" w:rsidRDefault="00810C90" w:rsidP="00E066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2MLAwMra0MLC0NDBS0lEKTi0uzszPAykwNK4FAG2nkQ8tAAAA"/>
  </w:docVars>
  <w:rsids>
    <w:rsidRoot w:val="004827C1"/>
    <w:rsid w:val="000014DE"/>
    <w:rsid w:val="0000516D"/>
    <w:rsid w:val="00007F2C"/>
    <w:rsid w:val="000121FE"/>
    <w:rsid w:val="00020AEF"/>
    <w:rsid w:val="00020FEB"/>
    <w:rsid w:val="000250AA"/>
    <w:rsid w:val="00026ADA"/>
    <w:rsid w:val="00026C32"/>
    <w:rsid w:val="000304B3"/>
    <w:rsid w:val="00033176"/>
    <w:rsid w:val="000352D2"/>
    <w:rsid w:val="00037CDB"/>
    <w:rsid w:val="00044101"/>
    <w:rsid w:val="00045979"/>
    <w:rsid w:val="000471BF"/>
    <w:rsid w:val="00055807"/>
    <w:rsid w:val="00057593"/>
    <w:rsid w:val="000634B3"/>
    <w:rsid w:val="00067C82"/>
    <w:rsid w:val="00074608"/>
    <w:rsid w:val="00074D3E"/>
    <w:rsid w:val="0008233B"/>
    <w:rsid w:val="0008430B"/>
    <w:rsid w:val="00084C69"/>
    <w:rsid w:val="00087DB3"/>
    <w:rsid w:val="000A31E7"/>
    <w:rsid w:val="000A34D8"/>
    <w:rsid w:val="000A6393"/>
    <w:rsid w:val="000A7934"/>
    <w:rsid w:val="000B0B41"/>
    <w:rsid w:val="000B0E23"/>
    <w:rsid w:val="000B1704"/>
    <w:rsid w:val="000C60A2"/>
    <w:rsid w:val="000C6DAC"/>
    <w:rsid w:val="000D209F"/>
    <w:rsid w:val="000D4387"/>
    <w:rsid w:val="000E20BF"/>
    <w:rsid w:val="000F4E88"/>
    <w:rsid w:val="000F6EC2"/>
    <w:rsid w:val="00100648"/>
    <w:rsid w:val="00100B76"/>
    <w:rsid w:val="001013CF"/>
    <w:rsid w:val="0010157C"/>
    <w:rsid w:val="00102CE1"/>
    <w:rsid w:val="001053DE"/>
    <w:rsid w:val="00106425"/>
    <w:rsid w:val="001076AB"/>
    <w:rsid w:val="001077C9"/>
    <w:rsid w:val="00114D27"/>
    <w:rsid w:val="0011689E"/>
    <w:rsid w:val="00116EA7"/>
    <w:rsid w:val="001171F0"/>
    <w:rsid w:val="00117EA8"/>
    <w:rsid w:val="0012005D"/>
    <w:rsid w:val="00121433"/>
    <w:rsid w:val="00123A2B"/>
    <w:rsid w:val="00124FA0"/>
    <w:rsid w:val="00130513"/>
    <w:rsid w:val="00136B2B"/>
    <w:rsid w:val="001374FB"/>
    <w:rsid w:val="001425D8"/>
    <w:rsid w:val="0014285C"/>
    <w:rsid w:val="0014456A"/>
    <w:rsid w:val="00146545"/>
    <w:rsid w:val="00147764"/>
    <w:rsid w:val="00147AF5"/>
    <w:rsid w:val="001516D3"/>
    <w:rsid w:val="00153722"/>
    <w:rsid w:val="00153C29"/>
    <w:rsid w:val="00156E6B"/>
    <w:rsid w:val="001611BA"/>
    <w:rsid w:val="001636CC"/>
    <w:rsid w:val="00164A30"/>
    <w:rsid w:val="00167BA4"/>
    <w:rsid w:val="0017269C"/>
    <w:rsid w:val="0017432A"/>
    <w:rsid w:val="001778BC"/>
    <w:rsid w:val="00177F85"/>
    <w:rsid w:val="00183048"/>
    <w:rsid w:val="00183DF3"/>
    <w:rsid w:val="00186B0F"/>
    <w:rsid w:val="001874B5"/>
    <w:rsid w:val="00187E83"/>
    <w:rsid w:val="00191BC6"/>
    <w:rsid w:val="00191FEB"/>
    <w:rsid w:val="001944A1"/>
    <w:rsid w:val="00194BC8"/>
    <w:rsid w:val="00195C73"/>
    <w:rsid w:val="00195EE3"/>
    <w:rsid w:val="00196171"/>
    <w:rsid w:val="001969F4"/>
    <w:rsid w:val="00196AA8"/>
    <w:rsid w:val="001A073F"/>
    <w:rsid w:val="001A1A99"/>
    <w:rsid w:val="001A1B1F"/>
    <w:rsid w:val="001A63B0"/>
    <w:rsid w:val="001B1645"/>
    <w:rsid w:val="001B1EE1"/>
    <w:rsid w:val="001B2861"/>
    <w:rsid w:val="001B37DB"/>
    <w:rsid w:val="001B4804"/>
    <w:rsid w:val="001B773B"/>
    <w:rsid w:val="001C2F01"/>
    <w:rsid w:val="001C51EF"/>
    <w:rsid w:val="001C767C"/>
    <w:rsid w:val="001C7934"/>
    <w:rsid w:val="001D19CC"/>
    <w:rsid w:val="001D5791"/>
    <w:rsid w:val="001E4D07"/>
    <w:rsid w:val="001E6C32"/>
    <w:rsid w:val="001E7993"/>
    <w:rsid w:val="001F367E"/>
    <w:rsid w:val="001F6D33"/>
    <w:rsid w:val="0020215D"/>
    <w:rsid w:val="002029BD"/>
    <w:rsid w:val="002040D5"/>
    <w:rsid w:val="00204A2F"/>
    <w:rsid w:val="00205462"/>
    <w:rsid w:val="00205492"/>
    <w:rsid w:val="0020555C"/>
    <w:rsid w:val="00206458"/>
    <w:rsid w:val="002101AD"/>
    <w:rsid w:val="00210389"/>
    <w:rsid w:val="002151BD"/>
    <w:rsid w:val="00216BDD"/>
    <w:rsid w:val="00216D5B"/>
    <w:rsid w:val="002202D7"/>
    <w:rsid w:val="00221662"/>
    <w:rsid w:val="002245C0"/>
    <w:rsid w:val="00225D5B"/>
    <w:rsid w:val="00226806"/>
    <w:rsid w:val="0023038C"/>
    <w:rsid w:val="00233EB7"/>
    <w:rsid w:val="00241150"/>
    <w:rsid w:val="002420AB"/>
    <w:rsid w:val="0024356C"/>
    <w:rsid w:val="0024385B"/>
    <w:rsid w:val="00245990"/>
    <w:rsid w:val="002501C7"/>
    <w:rsid w:val="0025035A"/>
    <w:rsid w:val="0025119C"/>
    <w:rsid w:val="00251CF6"/>
    <w:rsid w:val="00255B33"/>
    <w:rsid w:val="00262E2D"/>
    <w:rsid w:val="00264F3D"/>
    <w:rsid w:val="002654F2"/>
    <w:rsid w:val="00271980"/>
    <w:rsid w:val="002727AE"/>
    <w:rsid w:val="00280554"/>
    <w:rsid w:val="002812D6"/>
    <w:rsid w:val="0028366F"/>
    <w:rsid w:val="0028414E"/>
    <w:rsid w:val="002846FC"/>
    <w:rsid w:val="00287498"/>
    <w:rsid w:val="002924CA"/>
    <w:rsid w:val="00294D55"/>
    <w:rsid w:val="002A381E"/>
    <w:rsid w:val="002A489D"/>
    <w:rsid w:val="002A6210"/>
    <w:rsid w:val="002A738A"/>
    <w:rsid w:val="002A7EBC"/>
    <w:rsid w:val="002B09A9"/>
    <w:rsid w:val="002B0F23"/>
    <w:rsid w:val="002B1492"/>
    <w:rsid w:val="002B16C5"/>
    <w:rsid w:val="002B3D99"/>
    <w:rsid w:val="002C2D26"/>
    <w:rsid w:val="002C43D2"/>
    <w:rsid w:val="002C657B"/>
    <w:rsid w:val="002C6D77"/>
    <w:rsid w:val="002D0381"/>
    <w:rsid w:val="002D2F1C"/>
    <w:rsid w:val="002D34A9"/>
    <w:rsid w:val="002D374B"/>
    <w:rsid w:val="002D7784"/>
    <w:rsid w:val="002D778A"/>
    <w:rsid w:val="002D7A4E"/>
    <w:rsid w:val="002E26AA"/>
    <w:rsid w:val="002F047E"/>
    <w:rsid w:val="002F1A9E"/>
    <w:rsid w:val="002F22B3"/>
    <w:rsid w:val="002F56A4"/>
    <w:rsid w:val="002F7102"/>
    <w:rsid w:val="00300AE2"/>
    <w:rsid w:val="00305FFD"/>
    <w:rsid w:val="003061C2"/>
    <w:rsid w:val="003063A4"/>
    <w:rsid w:val="00313055"/>
    <w:rsid w:val="00313C84"/>
    <w:rsid w:val="00313DE2"/>
    <w:rsid w:val="00314FD0"/>
    <w:rsid w:val="003164E3"/>
    <w:rsid w:val="00316CCE"/>
    <w:rsid w:val="00321401"/>
    <w:rsid w:val="00321725"/>
    <w:rsid w:val="00321BBB"/>
    <w:rsid w:val="00323B2C"/>
    <w:rsid w:val="00327197"/>
    <w:rsid w:val="00327246"/>
    <w:rsid w:val="00327B75"/>
    <w:rsid w:val="00331765"/>
    <w:rsid w:val="003354D1"/>
    <w:rsid w:val="0033602A"/>
    <w:rsid w:val="00337DD7"/>
    <w:rsid w:val="003403A9"/>
    <w:rsid w:val="0034058F"/>
    <w:rsid w:val="003411CA"/>
    <w:rsid w:val="00345604"/>
    <w:rsid w:val="00350372"/>
    <w:rsid w:val="0035286B"/>
    <w:rsid w:val="0035584B"/>
    <w:rsid w:val="00356599"/>
    <w:rsid w:val="0036083C"/>
    <w:rsid w:val="00360B16"/>
    <w:rsid w:val="003619E2"/>
    <w:rsid w:val="00363432"/>
    <w:rsid w:val="00365DF6"/>
    <w:rsid w:val="0037041B"/>
    <w:rsid w:val="00372EC7"/>
    <w:rsid w:val="00380C5D"/>
    <w:rsid w:val="00381FAE"/>
    <w:rsid w:val="00383758"/>
    <w:rsid w:val="00383BB4"/>
    <w:rsid w:val="00386111"/>
    <w:rsid w:val="00392C73"/>
    <w:rsid w:val="00394166"/>
    <w:rsid w:val="003948A9"/>
    <w:rsid w:val="00396FD0"/>
    <w:rsid w:val="00397385"/>
    <w:rsid w:val="0039788D"/>
    <w:rsid w:val="003A27CC"/>
    <w:rsid w:val="003A34CF"/>
    <w:rsid w:val="003A3D89"/>
    <w:rsid w:val="003A3E5C"/>
    <w:rsid w:val="003A48D8"/>
    <w:rsid w:val="003A6992"/>
    <w:rsid w:val="003B1DF4"/>
    <w:rsid w:val="003B3BBC"/>
    <w:rsid w:val="003B6A53"/>
    <w:rsid w:val="003B6B7E"/>
    <w:rsid w:val="003B7879"/>
    <w:rsid w:val="003C100B"/>
    <w:rsid w:val="003C442B"/>
    <w:rsid w:val="003C4D25"/>
    <w:rsid w:val="003C78AF"/>
    <w:rsid w:val="003D07CE"/>
    <w:rsid w:val="003D29D0"/>
    <w:rsid w:val="003D5497"/>
    <w:rsid w:val="003D61DC"/>
    <w:rsid w:val="003E0B02"/>
    <w:rsid w:val="003E52C4"/>
    <w:rsid w:val="003E5A39"/>
    <w:rsid w:val="003E65B3"/>
    <w:rsid w:val="003F17E3"/>
    <w:rsid w:val="003F1876"/>
    <w:rsid w:val="003F18AB"/>
    <w:rsid w:val="003F1D5A"/>
    <w:rsid w:val="003F2C58"/>
    <w:rsid w:val="003F2D3A"/>
    <w:rsid w:val="003F400F"/>
    <w:rsid w:val="004047A8"/>
    <w:rsid w:val="00405B95"/>
    <w:rsid w:val="004076B8"/>
    <w:rsid w:val="00407CBA"/>
    <w:rsid w:val="00410ADC"/>
    <w:rsid w:val="00411F57"/>
    <w:rsid w:val="0041393E"/>
    <w:rsid w:val="00415178"/>
    <w:rsid w:val="00417729"/>
    <w:rsid w:val="004179A6"/>
    <w:rsid w:val="00425624"/>
    <w:rsid w:val="00431014"/>
    <w:rsid w:val="004320B4"/>
    <w:rsid w:val="004333F0"/>
    <w:rsid w:val="004348DE"/>
    <w:rsid w:val="00437232"/>
    <w:rsid w:val="00440621"/>
    <w:rsid w:val="004423F7"/>
    <w:rsid w:val="00444814"/>
    <w:rsid w:val="004454CF"/>
    <w:rsid w:val="004454DB"/>
    <w:rsid w:val="00446A4B"/>
    <w:rsid w:val="00447982"/>
    <w:rsid w:val="00452FFF"/>
    <w:rsid w:val="00456BC8"/>
    <w:rsid w:val="00457E0F"/>
    <w:rsid w:val="00462C89"/>
    <w:rsid w:val="004640EC"/>
    <w:rsid w:val="00465728"/>
    <w:rsid w:val="004664B3"/>
    <w:rsid w:val="004673C4"/>
    <w:rsid w:val="00471142"/>
    <w:rsid w:val="00471A33"/>
    <w:rsid w:val="00471D8E"/>
    <w:rsid w:val="00473E2F"/>
    <w:rsid w:val="00474152"/>
    <w:rsid w:val="0047605E"/>
    <w:rsid w:val="0047704D"/>
    <w:rsid w:val="00477C55"/>
    <w:rsid w:val="0048171E"/>
    <w:rsid w:val="004827C1"/>
    <w:rsid w:val="00482B7F"/>
    <w:rsid w:val="00483B99"/>
    <w:rsid w:val="00484F59"/>
    <w:rsid w:val="00485601"/>
    <w:rsid w:val="00487093"/>
    <w:rsid w:val="004878BE"/>
    <w:rsid w:val="004904C1"/>
    <w:rsid w:val="0049167A"/>
    <w:rsid w:val="00493204"/>
    <w:rsid w:val="004936F8"/>
    <w:rsid w:val="00495A2C"/>
    <w:rsid w:val="00497793"/>
    <w:rsid w:val="004A06F8"/>
    <w:rsid w:val="004A16CC"/>
    <w:rsid w:val="004A547A"/>
    <w:rsid w:val="004A7AA2"/>
    <w:rsid w:val="004A7B53"/>
    <w:rsid w:val="004B1D71"/>
    <w:rsid w:val="004B1E02"/>
    <w:rsid w:val="004B54AF"/>
    <w:rsid w:val="004B6A51"/>
    <w:rsid w:val="004B6E0E"/>
    <w:rsid w:val="004C0AF4"/>
    <w:rsid w:val="004C2564"/>
    <w:rsid w:val="004C3A24"/>
    <w:rsid w:val="004C4513"/>
    <w:rsid w:val="004C4C82"/>
    <w:rsid w:val="004C5A24"/>
    <w:rsid w:val="004C735B"/>
    <w:rsid w:val="004D575A"/>
    <w:rsid w:val="004D621C"/>
    <w:rsid w:val="004D7845"/>
    <w:rsid w:val="004E1FFD"/>
    <w:rsid w:val="004E2063"/>
    <w:rsid w:val="004E3B45"/>
    <w:rsid w:val="004E3C0C"/>
    <w:rsid w:val="004E4905"/>
    <w:rsid w:val="004E4B68"/>
    <w:rsid w:val="004F2942"/>
    <w:rsid w:val="004F2E99"/>
    <w:rsid w:val="004F5138"/>
    <w:rsid w:val="004F65D1"/>
    <w:rsid w:val="005035FE"/>
    <w:rsid w:val="0050573C"/>
    <w:rsid w:val="00506A32"/>
    <w:rsid w:val="00506F17"/>
    <w:rsid w:val="005070BB"/>
    <w:rsid w:val="00514E3D"/>
    <w:rsid w:val="00516323"/>
    <w:rsid w:val="00516BE4"/>
    <w:rsid w:val="00520560"/>
    <w:rsid w:val="00521BA3"/>
    <w:rsid w:val="005235E1"/>
    <w:rsid w:val="0052523A"/>
    <w:rsid w:val="00526A3E"/>
    <w:rsid w:val="00526AEE"/>
    <w:rsid w:val="005321A7"/>
    <w:rsid w:val="00532A38"/>
    <w:rsid w:val="00532EAC"/>
    <w:rsid w:val="00533667"/>
    <w:rsid w:val="00533CA5"/>
    <w:rsid w:val="00534372"/>
    <w:rsid w:val="005445C5"/>
    <w:rsid w:val="00545582"/>
    <w:rsid w:val="005500A0"/>
    <w:rsid w:val="005538F4"/>
    <w:rsid w:val="00553B26"/>
    <w:rsid w:val="00554335"/>
    <w:rsid w:val="005605C5"/>
    <w:rsid w:val="00560682"/>
    <w:rsid w:val="00563DFC"/>
    <w:rsid w:val="00564523"/>
    <w:rsid w:val="00565479"/>
    <w:rsid w:val="0056572F"/>
    <w:rsid w:val="005679B3"/>
    <w:rsid w:val="00570AD5"/>
    <w:rsid w:val="005712C2"/>
    <w:rsid w:val="00575326"/>
    <w:rsid w:val="005778F3"/>
    <w:rsid w:val="00580784"/>
    <w:rsid w:val="00582EB6"/>
    <w:rsid w:val="00590EE0"/>
    <w:rsid w:val="005922BB"/>
    <w:rsid w:val="00593295"/>
    <w:rsid w:val="00594BFE"/>
    <w:rsid w:val="005968DC"/>
    <w:rsid w:val="00596AB4"/>
    <w:rsid w:val="00596B11"/>
    <w:rsid w:val="00597E27"/>
    <w:rsid w:val="005A0C98"/>
    <w:rsid w:val="005A179C"/>
    <w:rsid w:val="005A18E4"/>
    <w:rsid w:val="005A3FB5"/>
    <w:rsid w:val="005A461C"/>
    <w:rsid w:val="005A594D"/>
    <w:rsid w:val="005B4A78"/>
    <w:rsid w:val="005B65A6"/>
    <w:rsid w:val="005B7078"/>
    <w:rsid w:val="005B7C83"/>
    <w:rsid w:val="005C3F8C"/>
    <w:rsid w:val="005C6409"/>
    <w:rsid w:val="005D20AB"/>
    <w:rsid w:val="005D221E"/>
    <w:rsid w:val="005D2C1C"/>
    <w:rsid w:val="005D47C4"/>
    <w:rsid w:val="005D59AA"/>
    <w:rsid w:val="005D7B2E"/>
    <w:rsid w:val="005E0622"/>
    <w:rsid w:val="005E201F"/>
    <w:rsid w:val="005E2196"/>
    <w:rsid w:val="005E24BF"/>
    <w:rsid w:val="005E2AF1"/>
    <w:rsid w:val="005E4283"/>
    <w:rsid w:val="005E428B"/>
    <w:rsid w:val="005E6587"/>
    <w:rsid w:val="005E69D4"/>
    <w:rsid w:val="005F3D63"/>
    <w:rsid w:val="005F3F88"/>
    <w:rsid w:val="005F65C8"/>
    <w:rsid w:val="00600669"/>
    <w:rsid w:val="006049C9"/>
    <w:rsid w:val="00605EAF"/>
    <w:rsid w:val="006107BC"/>
    <w:rsid w:val="0061250F"/>
    <w:rsid w:val="00621835"/>
    <w:rsid w:val="006236C8"/>
    <w:rsid w:val="00623A20"/>
    <w:rsid w:val="00631763"/>
    <w:rsid w:val="00633B6D"/>
    <w:rsid w:val="00637408"/>
    <w:rsid w:val="006425AB"/>
    <w:rsid w:val="00644857"/>
    <w:rsid w:val="00645F5E"/>
    <w:rsid w:val="006470D7"/>
    <w:rsid w:val="00651657"/>
    <w:rsid w:val="00653004"/>
    <w:rsid w:val="00653790"/>
    <w:rsid w:val="006579FD"/>
    <w:rsid w:val="00660027"/>
    <w:rsid w:val="00660357"/>
    <w:rsid w:val="00661CAE"/>
    <w:rsid w:val="00662442"/>
    <w:rsid w:val="00662DD1"/>
    <w:rsid w:val="0066542D"/>
    <w:rsid w:val="006668B1"/>
    <w:rsid w:val="006679F8"/>
    <w:rsid w:val="00671651"/>
    <w:rsid w:val="006720E9"/>
    <w:rsid w:val="00673C02"/>
    <w:rsid w:val="00677FEB"/>
    <w:rsid w:val="006818F1"/>
    <w:rsid w:val="00682FFC"/>
    <w:rsid w:val="0068549B"/>
    <w:rsid w:val="006858B7"/>
    <w:rsid w:val="00685D8C"/>
    <w:rsid w:val="00686037"/>
    <w:rsid w:val="00691A90"/>
    <w:rsid w:val="0069214F"/>
    <w:rsid w:val="006957BB"/>
    <w:rsid w:val="006A1894"/>
    <w:rsid w:val="006A2CAF"/>
    <w:rsid w:val="006A3663"/>
    <w:rsid w:val="006A57DE"/>
    <w:rsid w:val="006A63F9"/>
    <w:rsid w:val="006B1F5A"/>
    <w:rsid w:val="006B2870"/>
    <w:rsid w:val="006B34CC"/>
    <w:rsid w:val="006B70B1"/>
    <w:rsid w:val="006C3071"/>
    <w:rsid w:val="006C3622"/>
    <w:rsid w:val="006C4BB7"/>
    <w:rsid w:val="006C4BEC"/>
    <w:rsid w:val="006C4EBE"/>
    <w:rsid w:val="006C7012"/>
    <w:rsid w:val="006C7A4F"/>
    <w:rsid w:val="006D1F60"/>
    <w:rsid w:val="006D2185"/>
    <w:rsid w:val="006D304A"/>
    <w:rsid w:val="006D389A"/>
    <w:rsid w:val="006D68D8"/>
    <w:rsid w:val="006D7185"/>
    <w:rsid w:val="006E4F03"/>
    <w:rsid w:val="006E5484"/>
    <w:rsid w:val="006F1377"/>
    <w:rsid w:val="006F1CE4"/>
    <w:rsid w:val="006F2248"/>
    <w:rsid w:val="006F4A04"/>
    <w:rsid w:val="006F6775"/>
    <w:rsid w:val="006F6EBF"/>
    <w:rsid w:val="007011AD"/>
    <w:rsid w:val="00711AC5"/>
    <w:rsid w:val="007126A8"/>
    <w:rsid w:val="00714057"/>
    <w:rsid w:val="0071406D"/>
    <w:rsid w:val="0071451C"/>
    <w:rsid w:val="00714E1B"/>
    <w:rsid w:val="00715356"/>
    <w:rsid w:val="00723AA4"/>
    <w:rsid w:val="007275FE"/>
    <w:rsid w:val="007324D0"/>
    <w:rsid w:val="00734471"/>
    <w:rsid w:val="00736D3A"/>
    <w:rsid w:val="00736EA6"/>
    <w:rsid w:val="007413E2"/>
    <w:rsid w:val="00741DC8"/>
    <w:rsid w:val="00744725"/>
    <w:rsid w:val="00747129"/>
    <w:rsid w:val="00751E95"/>
    <w:rsid w:val="00760505"/>
    <w:rsid w:val="007656C2"/>
    <w:rsid w:val="0076676F"/>
    <w:rsid w:val="007716EB"/>
    <w:rsid w:val="007729B2"/>
    <w:rsid w:val="00773C81"/>
    <w:rsid w:val="00773C83"/>
    <w:rsid w:val="0077413D"/>
    <w:rsid w:val="00776BEC"/>
    <w:rsid w:val="0077746F"/>
    <w:rsid w:val="00781AE0"/>
    <w:rsid w:val="00782253"/>
    <w:rsid w:val="00782D62"/>
    <w:rsid w:val="00786582"/>
    <w:rsid w:val="00787FF5"/>
    <w:rsid w:val="00792F5C"/>
    <w:rsid w:val="00795623"/>
    <w:rsid w:val="007956B8"/>
    <w:rsid w:val="007959AE"/>
    <w:rsid w:val="00795B84"/>
    <w:rsid w:val="00796948"/>
    <w:rsid w:val="0079715B"/>
    <w:rsid w:val="007A41F6"/>
    <w:rsid w:val="007A582C"/>
    <w:rsid w:val="007A73CC"/>
    <w:rsid w:val="007A7837"/>
    <w:rsid w:val="007B1B10"/>
    <w:rsid w:val="007B344A"/>
    <w:rsid w:val="007B38D1"/>
    <w:rsid w:val="007B4B8E"/>
    <w:rsid w:val="007B61E8"/>
    <w:rsid w:val="007B7A13"/>
    <w:rsid w:val="007B7BFC"/>
    <w:rsid w:val="007C0430"/>
    <w:rsid w:val="007C583F"/>
    <w:rsid w:val="007C5FA2"/>
    <w:rsid w:val="007C620A"/>
    <w:rsid w:val="007D2C06"/>
    <w:rsid w:val="007D3CC5"/>
    <w:rsid w:val="007E0022"/>
    <w:rsid w:val="007E0AC7"/>
    <w:rsid w:val="007E47A7"/>
    <w:rsid w:val="007E49DA"/>
    <w:rsid w:val="007E4EB8"/>
    <w:rsid w:val="007E5607"/>
    <w:rsid w:val="007E71B2"/>
    <w:rsid w:val="007E744C"/>
    <w:rsid w:val="007E7A76"/>
    <w:rsid w:val="007F044A"/>
    <w:rsid w:val="007F07B5"/>
    <w:rsid w:val="007F1F37"/>
    <w:rsid w:val="007F3683"/>
    <w:rsid w:val="007F74D9"/>
    <w:rsid w:val="00801558"/>
    <w:rsid w:val="00803E8B"/>
    <w:rsid w:val="008065FE"/>
    <w:rsid w:val="0080721B"/>
    <w:rsid w:val="00810C90"/>
    <w:rsid w:val="00811671"/>
    <w:rsid w:val="00813102"/>
    <w:rsid w:val="00813BC3"/>
    <w:rsid w:val="008140BE"/>
    <w:rsid w:val="00815227"/>
    <w:rsid w:val="00817016"/>
    <w:rsid w:val="00817486"/>
    <w:rsid w:val="008200E6"/>
    <w:rsid w:val="00823329"/>
    <w:rsid w:val="0082580D"/>
    <w:rsid w:val="00826506"/>
    <w:rsid w:val="0082719E"/>
    <w:rsid w:val="00827C29"/>
    <w:rsid w:val="00832982"/>
    <w:rsid w:val="00835AAB"/>
    <w:rsid w:val="00842894"/>
    <w:rsid w:val="008435DF"/>
    <w:rsid w:val="00853DB7"/>
    <w:rsid w:val="0085492F"/>
    <w:rsid w:val="00854C5E"/>
    <w:rsid w:val="00854EBA"/>
    <w:rsid w:val="00854F47"/>
    <w:rsid w:val="00860BD0"/>
    <w:rsid w:val="00862FFF"/>
    <w:rsid w:val="0087182A"/>
    <w:rsid w:val="008754BB"/>
    <w:rsid w:val="0087659F"/>
    <w:rsid w:val="00877F0D"/>
    <w:rsid w:val="008800DA"/>
    <w:rsid w:val="00880F61"/>
    <w:rsid w:val="00885E00"/>
    <w:rsid w:val="00887585"/>
    <w:rsid w:val="00887954"/>
    <w:rsid w:val="00891233"/>
    <w:rsid w:val="00893830"/>
    <w:rsid w:val="008943E1"/>
    <w:rsid w:val="008952A2"/>
    <w:rsid w:val="00895651"/>
    <w:rsid w:val="008A3BFB"/>
    <w:rsid w:val="008A4B18"/>
    <w:rsid w:val="008A7343"/>
    <w:rsid w:val="008B0FD2"/>
    <w:rsid w:val="008B1A67"/>
    <w:rsid w:val="008B37E4"/>
    <w:rsid w:val="008B4377"/>
    <w:rsid w:val="008B633B"/>
    <w:rsid w:val="008B75F9"/>
    <w:rsid w:val="008B7A0C"/>
    <w:rsid w:val="008C0C78"/>
    <w:rsid w:val="008C0DC5"/>
    <w:rsid w:val="008C58D5"/>
    <w:rsid w:val="008C622F"/>
    <w:rsid w:val="008C6E4B"/>
    <w:rsid w:val="008D2F44"/>
    <w:rsid w:val="008D76C9"/>
    <w:rsid w:val="008E0BF8"/>
    <w:rsid w:val="008E4E76"/>
    <w:rsid w:val="008E7096"/>
    <w:rsid w:val="008E73D1"/>
    <w:rsid w:val="008F1E1F"/>
    <w:rsid w:val="008F39E2"/>
    <w:rsid w:val="008F4243"/>
    <w:rsid w:val="008F7435"/>
    <w:rsid w:val="008F7834"/>
    <w:rsid w:val="00900E49"/>
    <w:rsid w:val="00903472"/>
    <w:rsid w:val="00906EED"/>
    <w:rsid w:val="00907F27"/>
    <w:rsid w:val="0091114C"/>
    <w:rsid w:val="00911244"/>
    <w:rsid w:val="00911612"/>
    <w:rsid w:val="00912EE9"/>
    <w:rsid w:val="00921BD8"/>
    <w:rsid w:val="0092495E"/>
    <w:rsid w:val="00925264"/>
    <w:rsid w:val="009262C8"/>
    <w:rsid w:val="00930B68"/>
    <w:rsid w:val="009316CD"/>
    <w:rsid w:val="00936E57"/>
    <w:rsid w:val="0093738F"/>
    <w:rsid w:val="0093749A"/>
    <w:rsid w:val="00937657"/>
    <w:rsid w:val="00941593"/>
    <w:rsid w:val="00944640"/>
    <w:rsid w:val="009471A0"/>
    <w:rsid w:val="009532C3"/>
    <w:rsid w:val="00954EE9"/>
    <w:rsid w:val="00956583"/>
    <w:rsid w:val="00956C9A"/>
    <w:rsid w:val="009579B2"/>
    <w:rsid w:val="009622B1"/>
    <w:rsid w:val="00962DA1"/>
    <w:rsid w:val="00963C27"/>
    <w:rsid w:val="00964B7A"/>
    <w:rsid w:val="00965A57"/>
    <w:rsid w:val="009669B0"/>
    <w:rsid w:val="00966AC5"/>
    <w:rsid w:val="00967018"/>
    <w:rsid w:val="00967B68"/>
    <w:rsid w:val="00986499"/>
    <w:rsid w:val="00987238"/>
    <w:rsid w:val="009916C2"/>
    <w:rsid w:val="00991946"/>
    <w:rsid w:val="009A01F5"/>
    <w:rsid w:val="009A3002"/>
    <w:rsid w:val="009A70ED"/>
    <w:rsid w:val="009B0491"/>
    <w:rsid w:val="009B17D6"/>
    <w:rsid w:val="009B2C53"/>
    <w:rsid w:val="009B4432"/>
    <w:rsid w:val="009B4FCA"/>
    <w:rsid w:val="009B6EF6"/>
    <w:rsid w:val="009C0311"/>
    <w:rsid w:val="009C111D"/>
    <w:rsid w:val="009C26D2"/>
    <w:rsid w:val="009C5726"/>
    <w:rsid w:val="009D0C85"/>
    <w:rsid w:val="009D229E"/>
    <w:rsid w:val="009D5C02"/>
    <w:rsid w:val="009E0F96"/>
    <w:rsid w:val="009E3775"/>
    <w:rsid w:val="009E3FBA"/>
    <w:rsid w:val="009E5811"/>
    <w:rsid w:val="009E584D"/>
    <w:rsid w:val="009E758C"/>
    <w:rsid w:val="009F0193"/>
    <w:rsid w:val="009F335E"/>
    <w:rsid w:val="009F34EA"/>
    <w:rsid w:val="009F4FFD"/>
    <w:rsid w:val="009F73CD"/>
    <w:rsid w:val="00A0483B"/>
    <w:rsid w:val="00A04EFF"/>
    <w:rsid w:val="00A05039"/>
    <w:rsid w:val="00A10277"/>
    <w:rsid w:val="00A104DD"/>
    <w:rsid w:val="00A10D20"/>
    <w:rsid w:val="00A14A73"/>
    <w:rsid w:val="00A15F03"/>
    <w:rsid w:val="00A210AC"/>
    <w:rsid w:val="00A2265B"/>
    <w:rsid w:val="00A236DB"/>
    <w:rsid w:val="00A30674"/>
    <w:rsid w:val="00A30CE4"/>
    <w:rsid w:val="00A32138"/>
    <w:rsid w:val="00A35B4D"/>
    <w:rsid w:val="00A364BD"/>
    <w:rsid w:val="00A4118D"/>
    <w:rsid w:val="00A420AA"/>
    <w:rsid w:val="00A5244F"/>
    <w:rsid w:val="00A545ED"/>
    <w:rsid w:val="00A568B7"/>
    <w:rsid w:val="00A56A61"/>
    <w:rsid w:val="00A629AB"/>
    <w:rsid w:val="00A6332B"/>
    <w:rsid w:val="00A635D9"/>
    <w:rsid w:val="00A64E7E"/>
    <w:rsid w:val="00A70080"/>
    <w:rsid w:val="00A70714"/>
    <w:rsid w:val="00A70724"/>
    <w:rsid w:val="00A743C5"/>
    <w:rsid w:val="00A74665"/>
    <w:rsid w:val="00A77BE4"/>
    <w:rsid w:val="00A83ED0"/>
    <w:rsid w:val="00A86C50"/>
    <w:rsid w:val="00A877E0"/>
    <w:rsid w:val="00A87C5D"/>
    <w:rsid w:val="00A90D74"/>
    <w:rsid w:val="00A934CF"/>
    <w:rsid w:val="00A965D6"/>
    <w:rsid w:val="00AA15A4"/>
    <w:rsid w:val="00AA18A5"/>
    <w:rsid w:val="00AA2D87"/>
    <w:rsid w:val="00AA3D9C"/>
    <w:rsid w:val="00AA4667"/>
    <w:rsid w:val="00AA4D29"/>
    <w:rsid w:val="00AA616F"/>
    <w:rsid w:val="00AA63E9"/>
    <w:rsid w:val="00AB0ACA"/>
    <w:rsid w:val="00AB13E6"/>
    <w:rsid w:val="00AB19F7"/>
    <w:rsid w:val="00AB3C78"/>
    <w:rsid w:val="00AB45CC"/>
    <w:rsid w:val="00AB54F5"/>
    <w:rsid w:val="00AB6BB1"/>
    <w:rsid w:val="00AB76E8"/>
    <w:rsid w:val="00AB7A1C"/>
    <w:rsid w:val="00AC2D9D"/>
    <w:rsid w:val="00AD0BBF"/>
    <w:rsid w:val="00AD1B94"/>
    <w:rsid w:val="00AD1E01"/>
    <w:rsid w:val="00AD23EF"/>
    <w:rsid w:val="00AD5CA0"/>
    <w:rsid w:val="00AD76D7"/>
    <w:rsid w:val="00AE34E3"/>
    <w:rsid w:val="00AE599B"/>
    <w:rsid w:val="00AE765C"/>
    <w:rsid w:val="00AF1B29"/>
    <w:rsid w:val="00AF2571"/>
    <w:rsid w:val="00AF3D50"/>
    <w:rsid w:val="00AF5617"/>
    <w:rsid w:val="00B02782"/>
    <w:rsid w:val="00B044C6"/>
    <w:rsid w:val="00B054A1"/>
    <w:rsid w:val="00B059CA"/>
    <w:rsid w:val="00B128C3"/>
    <w:rsid w:val="00B14F45"/>
    <w:rsid w:val="00B17DDF"/>
    <w:rsid w:val="00B206C7"/>
    <w:rsid w:val="00B255B1"/>
    <w:rsid w:val="00B258AB"/>
    <w:rsid w:val="00B318D3"/>
    <w:rsid w:val="00B35115"/>
    <w:rsid w:val="00B41197"/>
    <w:rsid w:val="00B4156B"/>
    <w:rsid w:val="00B43E16"/>
    <w:rsid w:val="00B43F38"/>
    <w:rsid w:val="00B458B9"/>
    <w:rsid w:val="00B511E9"/>
    <w:rsid w:val="00B531F2"/>
    <w:rsid w:val="00B53DFA"/>
    <w:rsid w:val="00B56E5A"/>
    <w:rsid w:val="00B652B1"/>
    <w:rsid w:val="00B6694D"/>
    <w:rsid w:val="00B71214"/>
    <w:rsid w:val="00B7489D"/>
    <w:rsid w:val="00B760D0"/>
    <w:rsid w:val="00B805C0"/>
    <w:rsid w:val="00B84644"/>
    <w:rsid w:val="00B84815"/>
    <w:rsid w:val="00B84C4B"/>
    <w:rsid w:val="00B859C9"/>
    <w:rsid w:val="00B870E7"/>
    <w:rsid w:val="00B87963"/>
    <w:rsid w:val="00B90624"/>
    <w:rsid w:val="00B92311"/>
    <w:rsid w:val="00B934B8"/>
    <w:rsid w:val="00B93D5D"/>
    <w:rsid w:val="00B948F2"/>
    <w:rsid w:val="00B9672F"/>
    <w:rsid w:val="00B97453"/>
    <w:rsid w:val="00BA08DB"/>
    <w:rsid w:val="00BA2609"/>
    <w:rsid w:val="00BA264B"/>
    <w:rsid w:val="00BB31C1"/>
    <w:rsid w:val="00BB392D"/>
    <w:rsid w:val="00BB43C2"/>
    <w:rsid w:val="00BB4B02"/>
    <w:rsid w:val="00BB62E9"/>
    <w:rsid w:val="00BB7554"/>
    <w:rsid w:val="00BB7C9A"/>
    <w:rsid w:val="00BC0B69"/>
    <w:rsid w:val="00BC500D"/>
    <w:rsid w:val="00BC5856"/>
    <w:rsid w:val="00BC5FB7"/>
    <w:rsid w:val="00BC6BC5"/>
    <w:rsid w:val="00BD18BB"/>
    <w:rsid w:val="00BD278A"/>
    <w:rsid w:val="00BD4908"/>
    <w:rsid w:val="00BD685E"/>
    <w:rsid w:val="00BE0DB3"/>
    <w:rsid w:val="00BE28CE"/>
    <w:rsid w:val="00BE3502"/>
    <w:rsid w:val="00BE3DCD"/>
    <w:rsid w:val="00BE5285"/>
    <w:rsid w:val="00BE57C4"/>
    <w:rsid w:val="00BE5BDB"/>
    <w:rsid w:val="00BF0370"/>
    <w:rsid w:val="00BF045A"/>
    <w:rsid w:val="00BF0AF7"/>
    <w:rsid w:val="00BF5ED2"/>
    <w:rsid w:val="00C02A2D"/>
    <w:rsid w:val="00C042B1"/>
    <w:rsid w:val="00C042D3"/>
    <w:rsid w:val="00C05DC0"/>
    <w:rsid w:val="00C0795A"/>
    <w:rsid w:val="00C10C45"/>
    <w:rsid w:val="00C10CF6"/>
    <w:rsid w:val="00C20C84"/>
    <w:rsid w:val="00C22150"/>
    <w:rsid w:val="00C2387D"/>
    <w:rsid w:val="00C25EED"/>
    <w:rsid w:val="00C26350"/>
    <w:rsid w:val="00C27054"/>
    <w:rsid w:val="00C303B2"/>
    <w:rsid w:val="00C3117A"/>
    <w:rsid w:val="00C31B94"/>
    <w:rsid w:val="00C35CAF"/>
    <w:rsid w:val="00C364F0"/>
    <w:rsid w:val="00C408F7"/>
    <w:rsid w:val="00C43501"/>
    <w:rsid w:val="00C448E2"/>
    <w:rsid w:val="00C449D5"/>
    <w:rsid w:val="00C462A1"/>
    <w:rsid w:val="00C46D26"/>
    <w:rsid w:val="00C50553"/>
    <w:rsid w:val="00C5187B"/>
    <w:rsid w:val="00C55FD2"/>
    <w:rsid w:val="00C56260"/>
    <w:rsid w:val="00C57F5B"/>
    <w:rsid w:val="00C60964"/>
    <w:rsid w:val="00C66241"/>
    <w:rsid w:val="00C729A5"/>
    <w:rsid w:val="00C8094D"/>
    <w:rsid w:val="00C90275"/>
    <w:rsid w:val="00C911FC"/>
    <w:rsid w:val="00C93D4A"/>
    <w:rsid w:val="00C93FC6"/>
    <w:rsid w:val="00C94CD6"/>
    <w:rsid w:val="00C95BFB"/>
    <w:rsid w:val="00CA3B76"/>
    <w:rsid w:val="00CA42B8"/>
    <w:rsid w:val="00CA7553"/>
    <w:rsid w:val="00CB0291"/>
    <w:rsid w:val="00CB09AE"/>
    <w:rsid w:val="00CB1A6E"/>
    <w:rsid w:val="00CB5ED2"/>
    <w:rsid w:val="00CB7888"/>
    <w:rsid w:val="00CC0613"/>
    <w:rsid w:val="00CC08E3"/>
    <w:rsid w:val="00CC0B35"/>
    <w:rsid w:val="00CC2F6D"/>
    <w:rsid w:val="00CC3977"/>
    <w:rsid w:val="00CD51BC"/>
    <w:rsid w:val="00CD6FF1"/>
    <w:rsid w:val="00CE01F1"/>
    <w:rsid w:val="00CE0323"/>
    <w:rsid w:val="00CE1CE8"/>
    <w:rsid w:val="00CE2543"/>
    <w:rsid w:val="00CF038C"/>
    <w:rsid w:val="00CF6661"/>
    <w:rsid w:val="00CF6AF8"/>
    <w:rsid w:val="00CF73F1"/>
    <w:rsid w:val="00D0313A"/>
    <w:rsid w:val="00D03EAC"/>
    <w:rsid w:val="00D03ED8"/>
    <w:rsid w:val="00D041A1"/>
    <w:rsid w:val="00D061E5"/>
    <w:rsid w:val="00D06581"/>
    <w:rsid w:val="00D10F6A"/>
    <w:rsid w:val="00D12522"/>
    <w:rsid w:val="00D12A14"/>
    <w:rsid w:val="00D13385"/>
    <w:rsid w:val="00D138E5"/>
    <w:rsid w:val="00D14A68"/>
    <w:rsid w:val="00D20B27"/>
    <w:rsid w:val="00D24B6C"/>
    <w:rsid w:val="00D26498"/>
    <w:rsid w:val="00D27AA1"/>
    <w:rsid w:val="00D3129A"/>
    <w:rsid w:val="00D31A06"/>
    <w:rsid w:val="00D3272A"/>
    <w:rsid w:val="00D347A7"/>
    <w:rsid w:val="00D364FA"/>
    <w:rsid w:val="00D40FA8"/>
    <w:rsid w:val="00D43DC5"/>
    <w:rsid w:val="00D453CF"/>
    <w:rsid w:val="00D46EB4"/>
    <w:rsid w:val="00D4729B"/>
    <w:rsid w:val="00D47909"/>
    <w:rsid w:val="00D47ADC"/>
    <w:rsid w:val="00D47C94"/>
    <w:rsid w:val="00D50066"/>
    <w:rsid w:val="00D50621"/>
    <w:rsid w:val="00D51A94"/>
    <w:rsid w:val="00D52802"/>
    <w:rsid w:val="00D5406A"/>
    <w:rsid w:val="00D5569F"/>
    <w:rsid w:val="00D56E25"/>
    <w:rsid w:val="00D6074F"/>
    <w:rsid w:val="00D64AB2"/>
    <w:rsid w:val="00D653EF"/>
    <w:rsid w:val="00D65670"/>
    <w:rsid w:val="00D66466"/>
    <w:rsid w:val="00D73835"/>
    <w:rsid w:val="00D73E92"/>
    <w:rsid w:val="00D907D8"/>
    <w:rsid w:val="00D9241A"/>
    <w:rsid w:val="00D926BD"/>
    <w:rsid w:val="00D955C9"/>
    <w:rsid w:val="00D963D7"/>
    <w:rsid w:val="00DA10FE"/>
    <w:rsid w:val="00DA1977"/>
    <w:rsid w:val="00DA2E36"/>
    <w:rsid w:val="00DA6D47"/>
    <w:rsid w:val="00DA734A"/>
    <w:rsid w:val="00DB3A90"/>
    <w:rsid w:val="00DB3F96"/>
    <w:rsid w:val="00DB609E"/>
    <w:rsid w:val="00DC072D"/>
    <w:rsid w:val="00DC3DE8"/>
    <w:rsid w:val="00DC40E3"/>
    <w:rsid w:val="00DC41E1"/>
    <w:rsid w:val="00DC6568"/>
    <w:rsid w:val="00DC6C58"/>
    <w:rsid w:val="00DC7DA9"/>
    <w:rsid w:val="00DD4E36"/>
    <w:rsid w:val="00DD72FC"/>
    <w:rsid w:val="00DD7440"/>
    <w:rsid w:val="00DE1938"/>
    <w:rsid w:val="00DE1BA9"/>
    <w:rsid w:val="00DE2748"/>
    <w:rsid w:val="00DE465E"/>
    <w:rsid w:val="00DE58BB"/>
    <w:rsid w:val="00DE7CEC"/>
    <w:rsid w:val="00DF3197"/>
    <w:rsid w:val="00DF7179"/>
    <w:rsid w:val="00E032DE"/>
    <w:rsid w:val="00E04B15"/>
    <w:rsid w:val="00E0556D"/>
    <w:rsid w:val="00E063D0"/>
    <w:rsid w:val="00E066D1"/>
    <w:rsid w:val="00E06EEA"/>
    <w:rsid w:val="00E079CB"/>
    <w:rsid w:val="00E10EDA"/>
    <w:rsid w:val="00E13A3F"/>
    <w:rsid w:val="00E14550"/>
    <w:rsid w:val="00E14EB1"/>
    <w:rsid w:val="00E155BF"/>
    <w:rsid w:val="00E15DF3"/>
    <w:rsid w:val="00E2107F"/>
    <w:rsid w:val="00E27E9A"/>
    <w:rsid w:val="00E370CF"/>
    <w:rsid w:val="00E41B11"/>
    <w:rsid w:val="00E42E3B"/>
    <w:rsid w:val="00E4368C"/>
    <w:rsid w:val="00E43A9B"/>
    <w:rsid w:val="00E46553"/>
    <w:rsid w:val="00E50C89"/>
    <w:rsid w:val="00E51028"/>
    <w:rsid w:val="00E554F7"/>
    <w:rsid w:val="00E5582D"/>
    <w:rsid w:val="00E56DCB"/>
    <w:rsid w:val="00E5708A"/>
    <w:rsid w:val="00E616D9"/>
    <w:rsid w:val="00E6237A"/>
    <w:rsid w:val="00E62B50"/>
    <w:rsid w:val="00E63D53"/>
    <w:rsid w:val="00E64764"/>
    <w:rsid w:val="00E64783"/>
    <w:rsid w:val="00E64B20"/>
    <w:rsid w:val="00E66B09"/>
    <w:rsid w:val="00E66BAF"/>
    <w:rsid w:val="00E704E8"/>
    <w:rsid w:val="00E72606"/>
    <w:rsid w:val="00E72777"/>
    <w:rsid w:val="00E73C04"/>
    <w:rsid w:val="00E76558"/>
    <w:rsid w:val="00E778FE"/>
    <w:rsid w:val="00E77A56"/>
    <w:rsid w:val="00E81EB7"/>
    <w:rsid w:val="00E823F3"/>
    <w:rsid w:val="00E83C23"/>
    <w:rsid w:val="00E8447F"/>
    <w:rsid w:val="00E844E2"/>
    <w:rsid w:val="00E85F0F"/>
    <w:rsid w:val="00E907D8"/>
    <w:rsid w:val="00E91D69"/>
    <w:rsid w:val="00E9604C"/>
    <w:rsid w:val="00EA21AD"/>
    <w:rsid w:val="00EA2220"/>
    <w:rsid w:val="00EA2B7A"/>
    <w:rsid w:val="00EA52FA"/>
    <w:rsid w:val="00EA6A38"/>
    <w:rsid w:val="00EB0B71"/>
    <w:rsid w:val="00EB1E97"/>
    <w:rsid w:val="00EB6839"/>
    <w:rsid w:val="00EB6E19"/>
    <w:rsid w:val="00EB6E3F"/>
    <w:rsid w:val="00EB7D07"/>
    <w:rsid w:val="00EB7EC3"/>
    <w:rsid w:val="00EB7F5B"/>
    <w:rsid w:val="00EC139D"/>
    <w:rsid w:val="00EC296E"/>
    <w:rsid w:val="00EC3FB7"/>
    <w:rsid w:val="00EC52A2"/>
    <w:rsid w:val="00EC613A"/>
    <w:rsid w:val="00ED06B2"/>
    <w:rsid w:val="00ED1433"/>
    <w:rsid w:val="00ED329B"/>
    <w:rsid w:val="00ED43E6"/>
    <w:rsid w:val="00ED4BC5"/>
    <w:rsid w:val="00ED4D43"/>
    <w:rsid w:val="00ED6CA3"/>
    <w:rsid w:val="00ED74E0"/>
    <w:rsid w:val="00ED7DF2"/>
    <w:rsid w:val="00ED7EB2"/>
    <w:rsid w:val="00EE0248"/>
    <w:rsid w:val="00EE02F3"/>
    <w:rsid w:val="00EE0909"/>
    <w:rsid w:val="00EE1FAA"/>
    <w:rsid w:val="00EE421E"/>
    <w:rsid w:val="00EE50D8"/>
    <w:rsid w:val="00EE5341"/>
    <w:rsid w:val="00EF20A5"/>
    <w:rsid w:val="00EF519A"/>
    <w:rsid w:val="00EF5434"/>
    <w:rsid w:val="00F00496"/>
    <w:rsid w:val="00F024B3"/>
    <w:rsid w:val="00F0303B"/>
    <w:rsid w:val="00F10753"/>
    <w:rsid w:val="00F107CE"/>
    <w:rsid w:val="00F130F5"/>
    <w:rsid w:val="00F14A90"/>
    <w:rsid w:val="00F14C49"/>
    <w:rsid w:val="00F2201C"/>
    <w:rsid w:val="00F2316C"/>
    <w:rsid w:val="00F23D31"/>
    <w:rsid w:val="00F25A0F"/>
    <w:rsid w:val="00F32EAF"/>
    <w:rsid w:val="00F33A4F"/>
    <w:rsid w:val="00F33C27"/>
    <w:rsid w:val="00F33F28"/>
    <w:rsid w:val="00F343EC"/>
    <w:rsid w:val="00F4030B"/>
    <w:rsid w:val="00F41770"/>
    <w:rsid w:val="00F4226D"/>
    <w:rsid w:val="00F42E3B"/>
    <w:rsid w:val="00F45289"/>
    <w:rsid w:val="00F454F8"/>
    <w:rsid w:val="00F45E14"/>
    <w:rsid w:val="00F51F7C"/>
    <w:rsid w:val="00F522E3"/>
    <w:rsid w:val="00F53FB6"/>
    <w:rsid w:val="00F57B78"/>
    <w:rsid w:val="00F57D5A"/>
    <w:rsid w:val="00F61C67"/>
    <w:rsid w:val="00F625C6"/>
    <w:rsid w:val="00F63675"/>
    <w:rsid w:val="00F64B2E"/>
    <w:rsid w:val="00F669F4"/>
    <w:rsid w:val="00F66CA4"/>
    <w:rsid w:val="00F70153"/>
    <w:rsid w:val="00F70FB5"/>
    <w:rsid w:val="00F7334D"/>
    <w:rsid w:val="00F7407A"/>
    <w:rsid w:val="00F740C7"/>
    <w:rsid w:val="00F747CD"/>
    <w:rsid w:val="00F76665"/>
    <w:rsid w:val="00F76870"/>
    <w:rsid w:val="00F80045"/>
    <w:rsid w:val="00F834E6"/>
    <w:rsid w:val="00F83F0D"/>
    <w:rsid w:val="00F85792"/>
    <w:rsid w:val="00F85D8A"/>
    <w:rsid w:val="00F875D5"/>
    <w:rsid w:val="00F92098"/>
    <w:rsid w:val="00F9336D"/>
    <w:rsid w:val="00F9374F"/>
    <w:rsid w:val="00F966AA"/>
    <w:rsid w:val="00F97637"/>
    <w:rsid w:val="00FA1891"/>
    <w:rsid w:val="00FA4D4A"/>
    <w:rsid w:val="00FA6046"/>
    <w:rsid w:val="00FA6851"/>
    <w:rsid w:val="00FB10CD"/>
    <w:rsid w:val="00FC04D3"/>
    <w:rsid w:val="00FC58FD"/>
    <w:rsid w:val="00FD096E"/>
    <w:rsid w:val="00FD0DE2"/>
    <w:rsid w:val="00FD1F25"/>
    <w:rsid w:val="00FD2755"/>
    <w:rsid w:val="00FD377D"/>
    <w:rsid w:val="00FD39A3"/>
    <w:rsid w:val="00FD4941"/>
    <w:rsid w:val="00FD7CF9"/>
    <w:rsid w:val="00FE0740"/>
    <w:rsid w:val="00FE0BB4"/>
    <w:rsid w:val="00FE2913"/>
    <w:rsid w:val="00FE3530"/>
    <w:rsid w:val="00FE3836"/>
    <w:rsid w:val="00FE3EAF"/>
    <w:rsid w:val="00FE56FD"/>
    <w:rsid w:val="00FE64C2"/>
    <w:rsid w:val="00FE7B1F"/>
    <w:rsid w:val="00FF1E2F"/>
    <w:rsid w:val="00FF371D"/>
    <w:rsid w:val="00FF5ED8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55530F"/>
  <w15:chartTrackingRefBased/>
  <w15:docId w15:val="{50C81D2A-0D91-4EE8-9EC2-1BFDBD8D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C462A1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88"/>
  </w:style>
  <w:style w:type="paragraph" w:styleId="Footer">
    <w:name w:val="footer"/>
    <w:basedOn w:val="Normal"/>
    <w:link w:val="Foot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88"/>
  </w:style>
  <w:style w:type="paragraph" w:styleId="PlainText">
    <w:name w:val="Plain Text"/>
    <w:basedOn w:val="Normal"/>
    <w:link w:val="PlainTextChar"/>
    <w:uiPriority w:val="99"/>
    <w:unhideWhenUsed/>
    <w:rsid w:val="008B43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437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F3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7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D06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7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emf"/><Relationship Id="rId18" Type="http://schemas.openxmlformats.org/officeDocument/2006/relationships/hyperlink" Target="https://www.iotforall.com/secure-iot-devices-vp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17" Type="http://schemas.openxmlformats.org/officeDocument/2006/relationships/hyperlink" Target="http://dx.doi.org.csuglobal.idm.oclc.org/10.3390/en100404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future.2017.02.01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doi.org/10.1080/20479700.2018.1548158" TargetMode="Externa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dx.doi.org.csuglobal.idm.oclc.org/10.1007/s11036-018-1113-0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5b8edcfd5ce8d99e/Documents/Custom%20Office%20Templates/APA-Cover-Page-Template-Ne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APA-Cover-Page-Template-New.dotm</Template>
  <TotalTime>2</TotalTime>
  <Pages>12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Links>
    <vt:vector size="30" baseType="variant">
      <vt:variant>
        <vt:i4>4390920</vt:i4>
      </vt:variant>
      <vt:variant>
        <vt:i4>15</vt:i4>
      </vt:variant>
      <vt:variant>
        <vt:i4>0</vt:i4>
      </vt:variant>
      <vt:variant>
        <vt:i4>5</vt:i4>
      </vt:variant>
      <vt:variant>
        <vt:lpwstr>https://www.iotforall.com/secure-iot-devices-vpn/</vt:lpwstr>
      </vt:variant>
      <vt:variant>
        <vt:lpwstr/>
      </vt:variant>
      <vt:variant>
        <vt:i4>7340095</vt:i4>
      </vt:variant>
      <vt:variant>
        <vt:i4>12</vt:i4>
      </vt:variant>
      <vt:variant>
        <vt:i4>0</vt:i4>
      </vt:variant>
      <vt:variant>
        <vt:i4>5</vt:i4>
      </vt:variant>
      <vt:variant>
        <vt:lpwstr>http://dx.doi.org.csuglobal.idm.oclc.org/10.3390/en10040421</vt:lpwstr>
      </vt:variant>
      <vt:variant>
        <vt:lpwstr/>
      </vt:variant>
      <vt:variant>
        <vt:i4>4325456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https://doi.org/10.1016/j.future.2017.02.014</vt:lpwstr>
      </vt:variant>
      <vt:variant>
        <vt:lpwstr/>
      </vt:variant>
      <vt:variant>
        <vt:i4>917575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https://doi.org/10.1080/20479700.2018.1548158</vt:lpwstr>
      </vt:variant>
      <vt:variant>
        <vt:lpwstr/>
      </vt:variant>
      <vt:variant>
        <vt:i4>6291576</vt:i4>
      </vt:variant>
      <vt:variant>
        <vt:i4>3</vt:i4>
      </vt:variant>
      <vt:variant>
        <vt:i4>0</vt:i4>
      </vt:variant>
      <vt:variant>
        <vt:i4>5</vt:i4>
      </vt:variant>
      <vt:variant>
        <vt:lpwstr>http://dx.doi.org.csuglobal.idm.oclc.org/10.1007/s11036-018-1113-0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Miner</cp:lastModifiedBy>
  <cp:revision>2</cp:revision>
  <dcterms:created xsi:type="dcterms:W3CDTF">2019-12-22T20:40:00Z</dcterms:created>
  <dcterms:modified xsi:type="dcterms:W3CDTF">2019-12-22T20:40:00Z</dcterms:modified>
</cp:coreProperties>
</file>