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13CD" w14:textId="77777777" w:rsidR="00CD4C88" w:rsidRPr="00CD4C88" w:rsidRDefault="00CD4C88" w:rsidP="00CD4C88">
      <w:pPr>
        <w:rPr>
          <w:b/>
          <w:bCs/>
        </w:rPr>
      </w:pPr>
      <w:r w:rsidRPr="00CD4C88">
        <w:rPr>
          <w:b/>
          <w:bCs/>
        </w:rPr>
        <w:t>1. Tutorial on Support Vector Machine (SVM) — V. Jakkula (2006)</w:t>
      </w:r>
    </w:p>
    <w:p w14:paraId="2B745B44" w14:textId="77777777" w:rsidR="00CD4C88" w:rsidRPr="00CD4C88" w:rsidRDefault="00CD4C88" w:rsidP="00CD4C88">
      <w:r w:rsidRPr="00CD4C88">
        <w:t xml:space="preserve">This foundational tutorial introduces Support Vector Machines (SVMs) as a mathematically grounded, supervised machine learning technique that focuses on maximizing the margin between classes for robust classification. The paper describes the main components of SVMs such as hyperplanes, support vectors, and slack variables, and emphasizes the principle of </w:t>
      </w:r>
      <w:r w:rsidRPr="00CD4C88">
        <w:rPr>
          <w:b/>
          <w:bCs/>
        </w:rPr>
        <w:t>structural risk minimization (SRM)</w:t>
      </w:r>
      <w:r w:rsidRPr="00CD4C88">
        <w:t xml:space="preserve"> over empirical risk minimization to avoid overfitting. Jakkula also shows how convex optimization ensures global optimality, a significant strength compared to neural networks, which are prone to local minima.</w:t>
      </w:r>
    </w:p>
    <w:p w14:paraId="483BFE88" w14:textId="17FBCF7B" w:rsidR="00CD4C88" w:rsidRPr="00CD4C88" w:rsidRDefault="00CD4C88" w:rsidP="00CD4C88">
      <w:r w:rsidRPr="00CD4C88">
        <w:t xml:space="preserve">The document then explores how </w:t>
      </w:r>
      <w:r w:rsidRPr="00CD4C88">
        <w:rPr>
          <w:b/>
          <w:bCs/>
        </w:rPr>
        <w:t>kernel functions</w:t>
      </w:r>
      <w:r w:rsidRPr="00CD4C88">
        <w:t>—including polynomial, radial basis function (RBF), and sigmoid kernels—allow SVMs to operate in non-linearly separable feature spaces via the "kernel trick." It presents the dual problem formulation using Lagrangian multipliers and explains how only a subset of training vectors contribute to the final hyperplane, making SVMs computationally efficient at inference time. The emphasis on interpretability, flexibility, and generalization performance makes this tutorial a valuable resource for readers new to SVM theory and applications.</w:t>
      </w:r>
    </w:p>
    <w:p w14:paraId="40A078DB" w14:textId="77777777" w:rsidR="00CD4C88" w:rsidRPr="00CD4C88" w:rsidRDefault="00CD4C88" w:rsidP="00CD4C88">
      <w:pPr>
        <w:rPr>
          <w:b/>
          <w:bCs/>
        </w:rPr>
      </w:pPr>
      <w:r w:rsidRPr="00CD4C88">
        <w:rPr>
          <w:b/>
          <w:bCs/>
        </w:rPr>
        <w:t>2. Research Survey on Support Vector Machine — H. Wang et al. (2017)</w:t>
      </w:r>
    </w:p>
    <w:p w14:paraId="67492E0A" w14:textId="77777777" w:rsidR="00CD4C88" w:rsidRPr="00CD4C88" w:rsidRDefault="00CD4C88" w:rsidP="00CD4C88">
      <w:r w:rsidRPr="00CD4C88">
        <w:t xml:space="preserve">This paper delivers a comprehensive survey of SVMs, covering theoretical foundations, algorithmic enhancements, and emerging applications, particularly in mobile multimedia scenarios. The authors first revisit the SVM optimization problem and discuss how kernels project data into higher-dimensional spaces. They compare various methods to solve the underlying quadratic programming (QP) problem, including </w:t>
      </w:r>
      <w:r w:rsidRPr="00CD4C88">
        <w:rPr>
          <w:b/>
          <w:bCs/>
        </w:rPr>
        <w:t>Chunking</w:t>
      </w:r>
      <w:r w:rsidRPr="00CD4C88">
        <w:t xml:space="preserve">, </w:t>
      </w:r>
      <w:r w:rsidRPr="00CD4C88">
        <w:rPr>
          <w:b/>
          <w:bCs/>
        </w:rPr>
        <w:t>Decomposition</w:t>
      </w:r>
      <w:r w:rsidRPr="00CD4C88">
        <w:t xml:space="preserve">, and </w:t>
      </w:r>
      <w:r w:rsidRPr="00CD4C88">
        <w:rPr>
          <w:b/>
          <w:bCs/>
        </w:rPr>
        <w:t>Sequential Minimal Optimization (SMO)</w:t>
      </w:r>
      <w:r w:rsidRPr="00CD4C88">
        <w:t>, and highlight their relative efficiency and scalability challenges, especially with large datasets.</w:t>
      </w:r>
    </w:p>
    <w:p w14:paraId="07D2E320" w14:textId="6DB2EC5A" w:rsidR="00CD4C88" w:rsidRPr="00CD4C88" w:rsidRDefault="00CD4C88" w:rsidP="00CD4C88">
      <w:r w:rsidRPr="00CD4C88">
        <w:t xml:space="preserve">The survey then examines SVM </w:t>
      </w:r>
      <w:r w:rsidRPr="00CD4C88">
        <w:rPr>
          <w:b/>
          <w:bCs/>
        </w:rPr>
        <w:t>variants</w:t>
      </w:r>
      <w:r w:rsidRPr="00CD4C88">
        <w:t xml:space="preserve"> such as Fuzzy SVM (FSVM) for handling noisy data, Twin SVM (TWSVM) for reducing computational burden, and Distributed SVM (DSVM) for parallel processing across networks. Parameter selection strategies are also reviewed, including grid search, genetic algorithms, and particle swarm optimization. In its application focus, the paper showcases SVMs' versatility in image and audio classification, quality metric estimation, and real-time multimedia retrieval. Despite recognizing SVM's strong performance, the authors acknowledge challenges related to parameter tuning, interpretability in high dimensions, and computational cost.</w:t>
      </w:r>
    </w:p>
    <w:p w14:paraId="405FF2CE" w14:textId="77777777" w:rsidR="00CD4C88" w:rsidRPr="00CD4C88" w:rsidRDefault="00CD4C88" w:rsidP="00CD4C88">
      <w:pPr>
        <w:rPr>
          <w:b/>
          <w:bCs/>
        </w:rPr>
      </w:pPr>
      <w:r w:rsidRPr="00CD4C88">
        <w:rPr>
          <w:b/>
          <w:bCs/>
        </w:rPr>
        <w:t>3. A Distance-Based Kernel for Classification via Support Vector Machines — N. Amaya-Tejera et al. (2024)</w:t>
      </w:r>
    </w:p>
    <w:p w14:paraId="3BF29ACF" w14:textId="38A1FA24" w:rsidR="00CD4C88" w:rsidRPr="00CD4C88" w:rsidRDefault="00CD4C88" w:rsidP="00CD4C88">
      <w:r w:rsidRPr="00CD4C88">
        <w:t xml:space="preserve">This paper proposes an innovative </w:t>
      </w:r>
      <w:r w:rsidRPr="00CD4C88">
        <w:rPr>
          <w:b/>
          <w:bCs/>
        </w:rPr>
        <w:t>distance-based kernel</w:t>
      </w:r>
      <w:r w:rsidRPr="00CD4C88">
        <w:t xml:space="preserve"> tailored for SVM classification in datasets with binary features. Instead of traditional kernel functions, the authors use </w:t>
      </w:r>
      <w:r w:rsidRPr="00CD4C88">
        <w:lastRenderedPageBreak/>
        <w:t xml:space="preserve">dissimilarity metrics such as Jaccard distance, Rogers-Tanimoto, and Sokal-Michener to calculate the kernel value as </w:t>
      </w:r>
      <m:oMath>
        <m:r>
          <w:rPr>
            <w:rFonts w:ascii="Cambria Math" w:hAnsi="Cambria Math"/>
          </w:rPr>
          <m:t>K(x,y)=1-d(x,y)</m:t>
        </m:r>
      </m:oMath>
      <w:r w:rsidRPr="00CD4C88">
        <w:t xml:space="preserve">, where </w:t>
      </w:r>
      <m:oMath>
        <m:r>
          <w:rPr>
            <w:rFonts w:ascii="Cambria Math" w:hAnsi="Cambria Math"/>
          </w:rPr>
          <m:t>d</m:t>
        </m:r>
      </m:oMath>
      <w:r w:rsidRPr="00CD4C88">
        <w:t xml:space="preserve">denotes the distance. This approach effectively embeds semantic distance between binary vectors while simplifying the computation. In parallel, the method integrates </w:t>
      </w:r>
      <w:r w:rsidRPr="00CD4C88">
        <w:rPr>
          <w:b/>
          <w:bCs/>
        </w:rPr>
        <w:t>random subset selection</w:t>
      </w:r>
      <w:r w:rsidRPr="00CD4C88">
        <w:t xml:space="preserve"> to reduce training complexity by identifying representative samples that optimize classification fidelity.</w:t>
      </w:r>
    </w:p>
    <w:p w14:paraId="0EA19131" w14:textId="62084CAE" w:rsidR="00CD4C88" w:rsidRPr="00CD4C88" w:rsidRDefault="00CD4C88" w:rsidP="00CD4C88">
      <w:r w:rsidRPr="00CD4C88">
        <w:t>Evaluated across five benchmark datasets—including Cleveland Heart Disease and Divorce—the proposed method achieves competitive or superior classification accuracy (up to 100% in some cases) compared to classical kernels, while requiring fewer computational resources. The paper argues that this dual strategy (novel kernel and selective training summation) offers a compelling alternative for real-world applications involving high-dimensional binary or discretized data like medical diagnostics, social science surveys, or sentiment analysis.</w:t>
      </w:r>
    </w:p>
    <w:p w14:paraId="674BABB0" w14:textId="77777777" w:rsidR="00CD4C88" w:rsidRPr="00CD4C88" w:rsidRDefault="00CD4C88" w:rsidP="00CD4C88">
      <w:pPr>
        <w:rPr>
          <w:b/>
          <w:bCs/>
        </w:rPr>
      </w:pPr>
      <w:r w:rsidRPr="00CD4C88">
        <w:rPr>
          <w:b/>
          <w:bCs/>
        </w:rPr>
        <w:t>4. SVM Classifier – A Comprehensive Java Interface for Support Vector Machine Classification of Microarray Data — M. Pirooznia &amp; Y. Deng (2006)</w:t>
      </w:r>
    </w:p>
    <w:p w14:paraId="5D066331" w14:textId="77777777" w:rsidR="00CD4C88" w:rsidRPr="00CD4C88" w:rsidRDefault="00CD4C88" w:rsidP="00CD4C88">
      <w:r w:rsidRPr="00CD4C88">
        <w:t xml:space="preserve">This study introduces </w:t>
      </w:r>
      <w:r w:rsidRPr="00CD4C88">
        <w:rPr>
          <w:b/>
          <w:bCs/>
        </w:rPr>
        <w:t>SVM Classifier</w:t>
      </w:r>
      <w:r w:rsidRPr="00CD4C88">
        <w:t>, a Java-based graphical user interface designed to facilitate SVM classification for gene expression analysis in biomedical research. Leveraging the LIBSVM library, the tool supports multiple SVM models—including classification, regression, and distribution estimation—with options for kernel customization, cross-validation, and parameter tuning. The GUI allows researchers to process data in common formats and visualize results, reducing the steep learning curve often associated with command-line machine learning libraries.</w:t>
      </w:r>
    </w:p>
    <w:p w14:paraId="0F0FAAED" w14:textId="6EDE308F" w:rsidR="00CD4C88" w:rsidRPr="00CD4C88" w:rsidRDefault="00CD4C88" w:rsidP="00CD4C88">
      <w:r w:rsidRPr="00CD4C88">
        <w:t>The authors demonstrate the tool's practical utility by applying it to a breast cancer prediction task based on microarray data, achieving high accuracy (e.g., 100% using an RBF kernel for BRCA1 vs BRCA2 classification). The tool’s modularity allows for preprocessing, feature scaling, and integration of results in biomedical pipelines. By making complex SVM techniques accessible without the need for programming expertise, this work significantly lowers the barrier to entry for genomic data analysts and enhances reproducibility.</w:t>
      </w:r>
    </w:p>
    <w:p w14:paraId="671CFBAB" w14:textId="77777777" w:rsidR="00CD4C88" w:rsidRPr="00CD4C88" w:rsidRDefault="00CD4C88" w:rsidP="00CD4C88">
      <w:pPr>
        <w:rPr>
          <w:b/>
          <w:bCs/>
        </w:rPr>
      </w:pPr>
      <w:r w:rsidRPr="00CD4C88">
        <w:rPr>
          <w:b/>
          <w:bCs/>
        </w:rPr>
        <w:t>5. Support Vector Machine Implementations for Classification &amp; Clustering — S. Winters-Hilt et al. (2006)</w:t>
      </w:r>
    </w:p>
    <w:p w14:paraId="5DEFCA74" w14:textId="77777777" w:rsidR="00CD4C88" w:rsidRPr="00CD4C88" w:rsidRDefault="00CD4C88" w:rsidP="00CD4C88">
      <w:r w:rsidRPr="00CD4C88">
        <w:t xml:space="preserve">This study extends traditional SVM applications by integrating both </w:t>
      </w:r>
      <w:r w:rsidRPr="00CD4C88">
        <w:rPr>
          <w:b/>
          <w:bCs/>
        </w:rPr>
        <w:t>classification and clustering</w:t>
      </w:r>
      <w:r w:rsidRPr="00CD4C88">
        <w:t xml:space="preserve"> into a unified framework. The authors highlight the use of SVM in tasks like single-molecule detection and nanopore classification, where noisy biological signals require robust discrimination. To address the challenge of multiclass classification, they </w:t>
      </w:r>
      <w:r w:rsidRPr="00CD4C88">
        <w:lastRenderedPageBreak/>
        <w:t xml:space="preserve">compare external (one-vs-all, pairwise) and internal (direct multiclass) SVM strategies and propose logical flow diagrams based on SVM output confidence. A key contribution is the discussion of </w:t>
      </w:r>
      <w:r w:rsidRPr="00CD4C88">
        <w:rPr>
          <w:b/>
          <w:bCs/>
        </w:rPr>
        <w:t>information-theoretic kernels</w:t>
      </w:r>
      <w:r w:rsidRPr="00CD4C88">
        <w:t>, such as Kullback-Leibler divergence, which outperform geometric kernels for distribution-based feature vectors.</w:t>
      </w:r>
    </w:p>
    <w:p w14:paraId="713AB925" w14:textId="6A0AF9AC" w:rsidR="00CD4C88" w:rsidRPr="00CD4C88" w:rsidRDefault="00CD4C88" w:rsidP="00CD4C88">
      <w:r w:rsidRPr="00CD4C88">
        <w:t xml:space="preserve">The paper also explores computational improvements, including selecting </w:t>
      </w:r>
      <w:r w:rsidRPr="00CD4C88">
        <w:rPr>
          <w:b/>
          <w:bCs/>
        </w:rPr>
        <w:t>margin support vectors</w:t>
      </w:r>
      <w:r w:rsidRPr="00CD4C88">
        <w:t xml:space="preserve"> and pruning redundant vectors to improve model efficiency. These techniques allow the model to operate in real-time environments—such as electromagnetic signal processing—without compromising prediction performance. The study is impactful in bioinformatics, particularly for projects involving nanopores, DNA sequencing, or gene expression analysis, where classification and clustering demand both accuracy and computational frugality.</w:t>
      </w:r>
    </w:p>
    <w:p w14:paraId="74DDC30A" w14:textId="77777777" w:rsidR="00CD4C88" w:rsidRPr="00CD4C88" w:rsidRDefault="00CD4C88" w:rsidP="00CD4C88">
      <w:pPr>
        <w:rPr>
          <w:b/>
          <w:bCs/>
        </w:rPr>
      </w:pPr>
      <w:r w:rsidRPr="00CD4C88">
        <w:rPr>
          <w:b/>
          <w:bCs/>
        </w:rPr>
        <w:t xml:space="preserve">6. Support Vector Machines for Classification — M. Awad &amp; R. Khanna (2015), Chapter 3 in </w:t>
      </w:r>
      <w:r w:rsidRPr="00CD4C88">
        <w:rPr>
          <w:b/>
          <w:bCs/>
          <w:i/>
          <w:iCs/>
        </w:rPr>
        <w:t>Efficient Learning Machines</w:t>
      </w:r>
    </w:p>
    <w:p w14:paraId="7A90478C" w14:textId="77777777" w:rsidR="00CD4C88" w:rsidRPr="00CD4C88" w:rsidRDefault="00CD4C88" w:rsidP="00CD4C88">
      <w:r w:rsidRPr="00CD4C88">
        <w:t xml:space="preserve">This chapter offers a comprehensive synthesis of SVM theory and practice, aimed at engineers and system designers. It begins by conceptualizing SVMs from a </w:t>
      </w:r>
      <w:r w:rsidRPr="00CD4C88">
        <w:rPr>
          <w:b/>
          <w:bCs/>
        </w:rPr>
        <w:t>geometric and statistical perspective</w:t>
      </w:r>
      <w:r w:rsidRPr="00CD4C88">
        <w:t>, explaining how the algorithm finds an optimal hyperplane separating classes with maximum margin while guarding against overfitting through structural risk minimization. The authors go on to detail the derivation of primal and dual optimization problems, introduce the Karush-Kuhn-Tucker (KKT) conditions for solution optimality, and show how kernels enable SVMs to solve nonlinear classification tasks in higher-dimensional feature spaces.</w:t>
      </w:r>
    </w:p>
    <w:p w14:paraId="0C15BBE0" w14:textId="77777777" w:rsidR="00CD4C88" w:rsidRPr="00CD4C88" w:rsidRDefault="00CD4C88" w:rsidP="00CD4C88">
      <w:r w:rsidRPr="00CD4C88">
        <w:t xml:space="preserve">Expanding beyond binary classification, the chapter explores multiclass SVM extensions—such as one-vs-all, one-vs-one, and hierarchical SVM—as well as methods for handling </w:t>
      </w:r>
      <w:r w:rsidRPr="00CD4C88">
        <w:rPr>
          <w:b/>
          <w:bCs/>
        </w:rPr>
        <w:t>class imbalance</w:t>
      </w:r>
      <w:r w:rsidRPr="00CD4C88">
        <w:t xml:space="preserve"> using resampling techniques, cost-sensitive loss functions, and one-class SVM models. A standout feature is the case study on </w:t>
      </w:r>
      <w:r w:rsidRPr="00CD4C88">
        <w:rPr>
          <w:b/>
          <w:bCs/>
        </w:rPr>
        <w:t>handwriting recognition</w:t>
      </w:r>
      <w:r w:rsidRPr="00CD4C88">
        <w:t xml:space="preserve"> using hierarchical multi-stage SVM, which outperforms flat classifiers and k-NN by adapting features across classification phases. The chapter concludes with a discussion on computational challenges and optimizations, including reduced support vector sets and Cholesky-based kernel approximations, making it a holistic guide that bridges theory and practical deployment.</w:t>
      </w:r>
    </w:p>
    <w:p w14:paraId="51672D55" w14:textId="77777777" w:rsidR="00AC62F7" w:rsidRPr="00AC62F7" w:rsidRDefault="00AC62F7" w:rsidP="00AC62F7">
      <w:pPr>
        <w:rPr>
          <w:b/>
          <w:bCs/>
        </w:rPr>
      </w:pPr>
      <w:r w:rsidRPr="00AC62F7">
        <w:rPr>
          <w:b/>
          <w:bCs/>
        </w:rPr>
        <w:t>1. The Support Vector Classifier (1) — Manel Martínez-Ramón (2018)</w:t>
      </w:r>
    </w:p>
    <w:p w14:paraId="7E42EA05" w14:textId="07F9EA89" w:rsidR="00AC62F7" w:rsidRPr="00AC62F7" w:rsidRDefault="00AC62F7" w:rsidP="00AC62F7">
      <w:r w:rsidRPr="00AC62F7">
        <w:t xml:space="preserve">This slide deck introduces the </w:t>
      </w:r>
      <w:r w:rsidRPr="00AC62F7">
        <w:rPr>
          <w:b/>
          <w:bCs/>
        </w:rPr>
        <w:t>Support Vector Classifier (SVC)</w:t>
      </w:r>
      <w:r w:rsidRPr="00AC62F7">
        <w:t xml:space="preserve"> as a core tool in supervised machine learning, especially within the theory of structural risk minimization. The instructor starts by framing the SVC as a linear classifier that seeks to balance empirical error and model complexity by minimizing a primal objective function composed of the </w:t>
      </w:r>
      <w:r w:rsidRPr="00AC62F7">
        <w:lastRenderedPageBreak/>
        <w:t>margin norm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C62F7">
        <w:t xml:space="preserve">) and a penalty term </w:t>
      </w:r>
      <m:oMath>
        <m:r>
          <w:rPr>
            <w:rFonts w:ascii="Cambria Math" w:hAnsi="Cambria Math"/>
          </w:rPr>
          <m:t>C∑</m:t>
        </m:r>
        <m:sSub>
          <m:sSubPr>
            <m:ctrlPr>
              <w:rPr>
                <w:rFonts w:ascii="Cambria Math" w:hAnsi="Cambria Math"/>
              </w:rPr>
            </m:ctrlPr>
          </m:sSubPr>
          <m:e>
            <m:r>
              <w:rPr>
                <w:rFonts w:ascii="Cambria Math" w:hAnsi="Cambria Math"/>
              </w:rPr>
              <m:t>ξ</m:t>
            </m:r>
          </m:e>
          <m:sub>
            <m:r>
              <w:rPr>
                <w:rFonts w:ascii="Cambria Math" w:hAnsi="Cambria Math"/>
              </w:rPr>
              <m:t>n</m:t>
            </m:r>
          </m:sub>
        </m:sSub>
      </m:oMath>
      <w:r w:rsidRPr="00AC62F7">
        <w:t xml:space="preserve">, where </w:t>
      </w:r>
      <m:oMath>
        <m:sSub>
          <m:sSubPr>
            <m:ctrlPr>
              <w:rPr>
                <w:rFonts w:ascii="Cambria Math" w:hAnsi="Cambria Math"/>
              </w:rPr>
            </m:ctrlPr>
          </m:sSubPr>
          <m:e>
            <m:r>
              <w:rPr>
                <w:rFonts w:ascii="Cambria Math" w:hAnsi="Cambria Math"/>
              </w:rPr>
              <m:t>ξ</m:t>
            </m:r>
          </m:e>
          <m:sub>
            <m:r>
              <w:rPr>
                <w:rFonts w:ascii="Cambria Math" w:hAnsi="Cambria Math"/>
              </w:rPr>
              <m:t>n</m:t>
            </m:r>
          </m:sub>
        </m:sSub>
      </m:oMath>
      <w:r w:rsidRPr="00AC62F7">
        <w:t xml:space="preserve">denotes slack variables allowing for misclassification. This formulation captures the tradeoff between classification accuracy and margin width, where </w:t>
      </w:r>
      <w:r w:rsidRPr="00AC62F7">
        <w:rPr>
          <w:b/>
          <w:bCs/>
        </w:rPr>
        <w:t>C</w:t>
      </w:r>
      <w:r w:rsidRPr="00AC62F7">
        <w:t xml:space="preserve"> is a hyperparameter regulating this balance. The constraints enforce that each data point be correctly classified or lie within an acceptable margin violation.</w:t>
      </w:r>
    </w:p>
    <w:p w14:paraId="52C99A86" w14:textId="049DE7C3" w:rsidR="00AC62F7" w:rsidRPr="00AC62F7" w:rsidRDefault="00AC62F7" w:rsidP="00AC62F7">
      <w:r w:rsidRPr="00AC62F7">
        <w:t xml:space="preserve">To solve the constrained primal problem, the lecture introduces </w:t>
      </w:r>
      <w:r w:rsidRPr="00AC62F7">
        <w:rPr>
          <w:b/>
          <w:bCs/>
        </w:rPr>
        <w:t>Lagrange multipliers</w:t>
      </w:r>
      <w:r w:rsidRPr="00AC62F7">
        <w:t xml:space="preserve"> and constructs the corresponding Lagrangian function. Through derivation using the Karush-Kuhn-Tucker (KKT) conditions, it is shown that the optimal solution must lie where the gradient of the Lagrangian with respect to the primal variables vanishes. This leads to an important formulation: the model weights </w:t>
      </w:r>
      <m:oMath>
        <m:r>
          <w:rPr>
            <w:rFonts w:ascii="Cambria Math" w:hAnsi="Cambria Math"/>
          </w:rPr>
          <m:t>w</m:t>
        </m:r>
      </m:oMath>
      <w:r w:rsidRPr="00AC62F7">
        <w:t xml:space="preserve">are expressed as a weighted combination of training data, i.e., </w:t>
      </w:r>
      <m:oMath>
        <m:r>
          <w:rPr>
            <w:rFonts w:ascii="Cambria Math" w:hAnsi="Cambria Math"/>
          </w:rPr>
          <m:t>w=∑</m:t>
        </m:r>
        <m:sSub>
          <m:sSubPr>
            <m:ctrlPr>
              <w:rPr>
                <w:rFonts w:ascii="Cambria Math" w:hAnsi="Cambria Math"/>
              </w:rPr>
            </m:ctrlPr>
          </m:sSubPr>
          <m:e>
            <m:r>
              <w:rPr>
                <w:rFonts w:ascii="Cambria Math" w:hAnsi="Cambria Math"/>
              </w:rPr>
              <m:t>α</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AC62F7">
        <w:t>. The set of points with nonzero multipliers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AC62F7">
        <w:t xml:space="preserve">) are termed the </w:t>
      </w:r>
      <w:r w:rsidRPr="00AC62F7">
        <w:rPr>
          <w:b/>
          <w:bCs/>
        </w:rPr>
        <w:t>support vectors</w:t>
      </w:r>
      <w:r w:rsidRPr="00AC62F7">
        <w:t xml:space="preserve">, as they influence the final decision boundary. The presentation concludes by translating the classifier into its </w:t>
      </w:r>
      <w:r w:rsidRPr="00AC62F7">
        <w:rPr>
          <w:b/>
          <w:bCs/>
        </w:rPr>
        <w:t>dual representation</w:t>
      </w:r>
      <w:r w:rsidRPr="00AC62F7">
        <w:t>, paving the way for kernel-based generalization and efficient computation.</w:t>
      </w:r>
    </w:p>
    <w:p w14:paraId="1B39EFA8" w14:textId="77777777" w:rsidR="00AC62F7" w:rsidRPr="00AC62F7" w:rsidRDefault="00AC62F7" w:rsidP="00AC62F7">
      <w:pPr>
        <w:rPr>
          <w:b/>
          <w:bCs/>
        </w:rPr>
      </w:pPr>
      <w:r w:rsidRPr="00AC62F7">
        <w:rPr>
          <w:b/>
          <w:bCs/>
        </w:rPr>
        <w:t>2. The Support Vector Classifier (2) — Manel Martínez-Ramón (2018)</w:t>
      </w:r>
    </w:p>
    <w:p w14:paraId="18ABC5DE" w14:textId="35BEF1DB" w:rsidR="00AC62F7" w:rsidRPr="00AC62F7" w:rsidRDefault="00AC62F7" w:rsidP="00AC62F7">
      <w:r w:rsidRPr="00AC62F7">
        <w:t xml:space="preserve">The second lecture expands on the optimization and solution of the support vector classifier by delving deeper into the </w:t>
      </w:r>
      <w:r w:rsidRPr="00AC62F7">
        <w:rPr>
          <w:b/>
          <w:bCs/>
        </w:rPr>
        <w:t>KKT conditions</w:t>
      </w:r>
      <w:r w:rsidRPr="00AC62F7">
        <w:t xml:space="preserve"> and the construction of the dual optimization problem. The instructor outlines how the dual variables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AC62F7">
        <w:t>interact with slack variables and introduces cases where samples are either misclassified (</w:t>
      </w:r>
      <m:oMath>
        <m:sSub>
          <m:sSubPr>
            <m:ctrlPr>
              <w:rPr>
                <w:rFonts w:ascii="Cambria Math" w:hAnsi="Cambria Math"/>
              </w:rPr>
            </m:ctrlPr>
          </m:sSubPr>
          <m:e>
            <m:r>
              <w:rPr>
                <w:rFonts w:ascii="Cambria Math" w:hAnsi="Cambria Math"/>
              </w:rPr>
              <m:t>ξ</m:t>
            </m:r>
          </m:e>
          <m:sub>
            <m:r>
              <w:rPr>
                <w:rFonts w:ascii="Cambria Math" w:hAnsi="Cambria Math"/>
              </w:rPr>
              <m:t>n</m:t>
            </m:r>
          </m:sub>
        </m:sSub>
        <m:r>
          <w:rPr>
            <w:rFonts w:ascii="Cambria Math" w:hAnsi="Cambria Math"/>
          </w:rPr>
          <m:t>&gt;0</m:t>
        </m:r>
      </m:oMath>
      <w:r w:rsidRPr="00AC62F7">
        <w:t xml:space="preserve">) or correctly classified but lie on or outside the margin. The relationship </w:t>
      </w:r>
      <m:oMath>
        <m:r>
          <w:rPr>
            <w:rFonts w:ascii="Cambria Math" w:hAnsi="Cambria Math"/>
          </w:rPr>
          <m:t>C-</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w:rPr>
            <w:rFonts w:ascii="Cambria Math" w:hAnsi="Cambria Math"/>
          </w:rPr>
          <m:t>=0</m:t>
        </m:r>
      </m:oMath>
      <w:r w:rsidRPr="00AC62F7">
        <w:t xml:space="preserve">is emphasized for determining when samples become support vectors, with those satisfying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=C</m:t>
        </m:r>
      </m:oMath>
      <w:r w:rsidRPr="00AC62F7">
        <w:t>indicating misclassification or margin violations. This insight allows the identification of relevant data points for model construction.</w:t>
      </w:r>
    </w:p>
    <w:p w14:paraId="31801327" w14:textId="1D6AFE8C" w:rsidR="002F39F9" w:rsidRPr="00CD4C88" w:rsidRDefault="00AC62F7" w:rsidP="00CD4C88">
      <w:r w:rsidRPr="00AC62F7">
        <w:t xml:space="preserve">Further derivation shows how plugging the KKT condition </w:t>
      </w:r>
      <m:oMath>
        <m:r>
          <w:rPr>
            <w:rFonts w:ascii="Cambria Math" w:hAnsi="Cambria Math"/>
          </w:rPr>
          <m:t>w=∑</m:t>
        </m:r>
        <m:sSub>
          <m:sSubPr>
            <m:ctrlPr>
              <w:rPr>
                <w:rFonts w:ascii="Cambria Math" w:hAnsi="Cambria Math"/>
              </w:rPr>
            </m:ctrlPr>
          </m:sSubPr>
          <m:e>
            <m:r>
              <w:rPr>
                <w:rFonts w:ascii="Cambria Math" w:hAnsi="Cambria Math"/>
              </w:rPr>
              <m:t>α</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00AC62F7">
        <w:t xml:space="preserve">back into the Lagrangian leads to the </w:t>
      </w:r>
      <w:r w:rsidRPr="00AC62F7">
        <w:rPr>
          <w:b/>
          <w:bCs/>
        </w:rPr>
        <w:t>dual form of the objective function</w:t>
      </w:r>
      <w:r w:rsidRPr="00AC62F7">
        <w:t xml:space="preserve">, given by </w:t>
      </w:r>
      <m:oMath>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α</m:t>
            </m:r>
          </m:e>
          <m:sup>
            <m:r>
              <w:rPr>
                <w:rFonts w:ascii="Cambria Math" w:hAnsi="Cambria Math"/>
              </w:rPr>
              <m:t>T</m:t>
            </m:r>
          </m:sup>
        </m:sSup>
        <m:r>
          <w:rPr>
            <w:rFonts w:ascii="Cambria Math" w:hAnsi="Cambria Math"/>
          </w:rPr>
          <m:t>YKYα+</m:t>
        </m:r>
        <m:sSup>
          <m:sSupPr>
            <m:ctrlPr>
              <w:rPr>
                <w:rFonts w:ascii="Cambria Math" w:hAnsi="Cambria Math"/>
              </w:rPr>
            </m:ctrlPr>
          </m:sSupPr>
          <m:e>
            <m:r>
              <w:rPr>
                <w:rFonts w:ascii="Cambria Math" w:hAnsi="Cambria Math"/>
              </w:rPr>
              <m:t>α</m:t>
            </m:r>
          </m:e>
          <m:sup>
            <m:r>
              <w:rPr>
                <w:rFonts w:ascii="Cambria Math" w:hAnsi="Cambria Math"/>
              </w:rPr>
              <m:t>T</m:t>
            </m:r>
          </m:sup>
        </m:sSup>
        <m:r>
          <m:rPr>
            <m:sty m:val="b"/>
          </m:rPr>
          <w:rPr>
            <w:rFonts w:ascii="Cambria Math" w:hAnsi="Cambria Math"/>
          </w:rPr>
          <m:t>1</m:t>
        </m:r>
      </m:oMath>
      <w:r w:rsidRPr="00AC62F7">
        <w:t xml:space="preserve">, where </w:t>
      </w:r>
      <m:oMath>
        <m:r>
          <w:rPr>
            <w:rFonts w:ascii="Cambria Math" w:hAnsi="Cambria Math"/>
          </w:rPr>
          <m:t>K</m:t>
        </m:r>
      </m:oMath>
      <w:r w:rsidRPr="00AC62F7">
        <w:t xml:space="preserve">is the Gram matrix of dot products. This transformation is significant because it enables the use of quadratic programming and kernel functions — turning linear SVMs into kernel SVMs that can handle nonlinear problems. The lecture also presents visual examples of separable and non-separable datasets, reinforcing theoretical concepts with practical interpretation of support vector behavior. It ends with key practical insights: SVMs aim to minimize both model complexity and empirical risk, and their performance is largely governed by the choice of tradeoff parameter </w:t>
      </w:r>
      <m:oMath>
        <m:r>
          <w:rPr>
            <w:rFonts w:ascii="Cambria Math" w:hAnsi="Cambria Math"/>
          </w:rPr>
          <m:t>C</m:t>
        </m:r>
      </m:oMath>
      <w:r w:rsidRPr="00AC62F7">
        <w:t>and kernel functions.</w:t>
      </w:r>
    </w:p>
    <w:sectPr w:rsidR="002F39F9" w:rsidRPr="00CD4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3D3"/>
    <w:multiLevelType w:val="hybridMultilevel"/>
    <w:tmpl w:val="6E564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B433E1"/>
    <w:multiLevelType w:val="hybridMultilevel"/>
    <w:tmpl w:val="A0E4CD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58614385">
    <w:abstractNumId w:val="0"/>
  </w:num>
  <w:num w:numId="2" w16cid:durableId="177093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22"/>
    <w:rsid w:val="002D631F"/>
    <w:rsid w:val="002E1741"/>
    <w:rsid w:val="002F39F9"/>
    <w:rsid w:val="00352FC3"/>
    <w:rsid w:val="00415479"/>
    <w:rsid w:val="00502EA4"/>
    <w:rsid w:val="00540B0A"/>
    <w:rsid w:val="006F4C22"/>
    <w:rsid w:val="00716970"/>
    <w:rsid w:val="00AC62F7"/>
    <w:rsid w:val="00B93811"/>
    <w:rsid w:val="00CD4C88"/>
    <w:rsid w:val="00D9309D"/>
    <w:rsid w:val="00E66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49FB"/>
  <w15:chartTrackingRefBased/>
  <w15:docId w15:val="{9772CA2B-715B-4DFB-9088-DBA5E8B0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22"/>
    <w:rPr>
      <w:rFonts w:eastAsiaTheme="majorEastAsia" w:cstheme="majorBidi"/>
      <w:color w:val="272727" w:themeColor="text1" w:themeTint="D8"/>
    </w:rPr>
  </w:style>
  <w:style w:type="paragraph" w:styleId="Title">
    <w:name w:val="Title"/>
    <w:basedOn w:val="Normal"/>
    <w:next w:val="Normal"/>
    <w:link w:val="TitleChar"/>
    <w:uiPriority w:val="10"/>
    <w:qFormat/>
    <w:rsid w:val="006F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22"/>
    <w:pPr>
      <w:spacing w:before="160"/>
      <w:jc w:val="center"/>
    </w:pPr>
    <w:rPr>
      <w:i/>
      <w:iCs/>
      <w:color w:val="404040" w:themeColor="text1" w:themeTint="BF"/>
    </w:rPr>
  </w:style>
  <w:style w:type="character" w:customStyle="1" w:styleId="QuoteChar">
    <w:name w:val="Quote Char"/>
    <w:basedOn w:val="DefaultParagraphFont"/>
    <w:link w:val="Quote"/>
    <w:uiPriority w:val="29"/>
    <w:rsid w:val="006F4C22"/>
    <w:rPr>
      <w:i/>
      <w:iCs/>
      <w:color w:val="404040" w:themeColor="text1" w:themeTint="BF"/>
    </w:rPr>
  </w:style>
  <w:style w:type="paragraph" w:styleId="ListParagraph">
    <w:name w:val="List Paragraph"/>
    <w:basedOn w:val="Normal"/>
    <w:uiPriority w:val="34"/>
    <w:qFormat/>
    <w:rsid w:val="006F4C22"/>
    <w:pPr>
      <w:ind w:left="720"/>
      <w:contextualSpacing/>
    </w:pPr>
  </w:style>
  <w:style w:type="character" w:styleId="IntenseEmphasis">
    <w:name w:val="Intense Emphasis"/>
    <w:basedOn w:val="DefaultParagraphFont"/>
    <w:uiPriority w:val="21"/>
    <w:qFormat/>
    <w:rsid w:val="006F4C22"/>
    <w:rPr>
      <w:i/>
      <w:iCs/>
      <w:color w:val="0F4761" w:themeColor="accent1" w:themeShade="BF"/>
    </w:rPr>
  </w:style>
  <w:style w:type="paragraph" w:styleId="IntenseQuote">
    <w:name w:val="Intense Quote"/>
    <w:basedOn w:val="Normal"/>
    <w:next w:val="Normal"/>
    <w:link w:val="IntenseQuoteChar"/>
    <w:uiPriority w:val="30"/>
    <w:qFormat/>
    <w:rsid w:val="006F4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22"/>
    <w:rPr>
      <w:i/>
      <w:iCs/>
      <w:color w:val="0F4761" w:themeColor="accent1" w:themeShade="BF"/>
    </w:rPr>
  </w:style>
  <w:style w:type="character" w:styleId="IntenseReference">
    <w:name w:val="Intense Reference"/>
    <w:basedOn w:val="DefaultParagraphFont"/>
    <w:uiPriority w:val="32"/>
    <w:qFormat/>
    <w:rsid w:val="006F4C22"/>
    <w:rPr>
      <w:b/>
      <w:bCs/>
      <w:smallCaps/>
      <w:color w:val="0F4761" w:themeColor="accent1" w:themeShade="BF"/>
      <w:spacing w:val="5"/>
    </w:rPr>
  </w:style>
  <w:style w:type="character" w:styleId="Hyperlink">
    <w:name w:val="Hyperlink"/>
    <w:basedOn w:val="DefaultParagraphFont"/>
    <w:uiPriority w:val="99"/>
    <w:unhideWhenUsed/>
    <w:rsid w:val="002F39F9"/>
    <w:rPr>
      <w:color w:val="467886" w:themeColor="hyperlink"/>
      <w:u w:val="single"/>
    </w:rPr>
  </w:style>
  <w:style w:type="character" w:styleId="UnresolvedMention">
    <w:name w:val="Unresolved Mention"/>
    <w:basedOn w:val="DefaultParagraphFont"/>
    <w:uiPriority w:val="99"/>
    <w:semiHidden/>
    <w:unhideWhenUsed/>
    <w:rsid w:val="002F3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1643</Words>
  <Characters>9367</Characters>
  <Application>Microsoft Office Word</Application>
  <DocSecurity>0</DocSecurity>
  <Lines>78</Lines>
  <Paragraphs>21</Paragraphs>
  <ScaleCrop>false</ScaleCrop>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23</cp:revision>
  <dcterms:created xsi:type="dcterms:W3CDTF">2025-11-16T20:15:00Z</dcterms:created>
  <dcterms:modified xsi:type="dcterms:W3CDTF">2025-11-16T20:24:00Z</dcterms:modified>
</cp:coreProperties>
</file>