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1E3D4" w14:textId="77777777" w:rsidR="007F3E5F" w:rsidRDefault="004C146D">
      <w:pPr>
        <w:spacing w:after="79" w:line="259" w:lineRule="auto"/>
        <w:ind w:left="-5"/>
      </w:pPr>
      <w:r>
        <w:rPr>
          <w:b/>
          <w:sz w:val="28"/>
        </w:rPr>
        <w:t xml:space="preserve">Syllabus for ME 597 Small Spacecraft Design I (3 credit hours) </w:t>
      </w:r>
    </w:p>
    <w:p w14:paraId="526E6B0D" w14:textId="52A6191A" w:rsidR="00F402D3" w:rsidRPr="00F402D3" w:rsidRDefault="00F402D3" w:rsidP="00F402D3">
      <w:pPr>
        <w:spacing w:after="109"/>
        <w:ind w:left="345" w:hanging="360"/>
        <w:rPr>
          <w:b/>
        </w:rPr>
      </w:pPr>
      <w:r w:rsidRPr="00F402D3">
        <w:rPr>
          <w:b/>
        </w:rPr>
        <w:t>Instructor: Dr. T. Alan Lovell</w:t>
      </w:r>
    </w:p>
    <w:p w14:paraId="5A87B9C5" w14:textId="40BCA6A5" w:rsidR="00F402D3" w:rsidRDefault="00F402D3" w:rsidP="00F402D3">
      <w:pPr>
        <w:spacing w:after="109"/>
        <w:ind w:left="345" w:hanging="360"/>
        <w:rPr>
          <w:b/>
        </w:rPr>
      </w:pPr>
      <w:r w:rsidRPr="00F402D3">
        <w:rPr>
          <w:b/>
        </w:rPr>
        <w:t>Contact:</w:t>
      </w:r>
      <w:r w:rsidR="001A1CCB">
        <w:rPr>
          <w:b/>
        </w:rPr>
        <w:t xml:space="preserve"> lovelta@unm.edu</w:t>
      </w:r>
    </w:p>
    <w:p w14:paraId="566B22B9" w14:textId="32F77672" w:rsidR="007F3E5F" w:rsidRDefault="004C146D" w:rsidP="00F402D3">
      <w:pPr>
        <w:spacing w:after="109"/>
        <w:ind w:left="345" w:hanging="360"/>
      </w:pPr>
      <w:r>
        <w:rPr>
          <w:b/>
        </w:rPr>
        <w:t>Text:</w:t>
      </w:r>
      <w:r>
        <w:t xml:space="preserve">  </w:t>
      </w:r>
      <w:r>
        <w:rPr>
          <w:i/>
        </w:rPr>
        <w:t xml:space="preserve">Space Mission Engineering: The New SMAD,  </w:t>
      </w:r>
      <w:r>
        <w:t xml:space="preserve">Edited by: Wertz, Everett, and Puschell, Microcosm Press, 2011. </w:t>
      </w:r>
    </w:p>
    <w:p w14:paraId="671FFB48" w14:textId="2FBB0A0E" w:rsidR="007F3E5F" w:rsidRDefault="004C146D">
      <w:pPr>
        <w:spacing w:after="109"/>
        <w:ind w:left="345" w:hanging="360"/>
      </w:pPr>
      <w:r>
        <w:rPr>
          <w:b/>
          <w:i/>
        </w:rPr>
        <w:t>Small Spacecraft Design I</w:t>
      </w:r>
      <w:r>
        <w:t xml:space="preserve">.  This course introduces engineering students to the design of complex space systems, integrating space science and engineering material. The course covers the fundamentals of each of the subsystems in a spacecraft, </w:t>
      </w:r>
      <w:r w:rsidR="00A147D1">
        <w:t>such as</w:t>
      </w:r>
      <w:r>
        <w:t xml:space="preserve"> propulsion</w:t>
      </w:r>
      <w:r w:rsidR="00A147D1">
        <w:t>,</w:t>
      </w:r>
      <w:r>
        <w:t xml:space="preserve"> the spacecraft structure</w:t>
      </w:r>
      <w:r w:rsidR="00A147D1">
        <w:t xml:space="preserve">, </w:t>
      </w:r>
      <w:r>
        <w:t>attitude determination and control</w:t>
      </w:r>
      <w:r w:rsidR="00A147D1">
        <w:t xml:space="preserve">, </w:t>
      </w:r>
      <w:r>
        <w:t>thermal control</w:t>
      </w:r>
      <w:r w:rsidR="00A147D1">
        <w:t xml:space="preserve">, and the </w:t>
      </w:r>
      <w:r>
        <w:t>space</w:t>
      </w:r>
      <w:r w:rsidR="00A147D1" w:rsidRPr="00A147D1">
        <w:t xml:space="preserve"> </w:t>
      </w:r>
      <w:r w:rsidR="00A147D1">
        <w:t>environment</w:t>
      </w:r>
      <w:r>
        <w:t xml:space="preserve">.  This course has no formal prerequisites.  </w:t>
      </w:r>
    </w:p>
    <w:p w14:paraId="50F7DE75" w14:textId="75A2DE11" w:rsidR="007F3E5F" w:rsidRDefault="004C146D">
      <w:pPr>
        <w:spacing w:after="109"/>
        <w:ind w:left="417" w:hanging="432"/>
      </w:pPr>
      <w:r>
        <w:rPr>
          <w:b/>
        </w:rPr>
        <w:t>Goal:</w:t>
      </w:r>
      <w:r>
        <w:t xml:space="preserve">  The goal is to expose students to the fundamentals of each of the subsystems in a spacecraft to a depth that permits students to carry out the conceptual design of a </w:t>
      </w:r>
      <w:r w:rsidR="00971DFE">
        <w:t>spacecraft to meet specified mission objectives</w:t>
      </w:r>
    </w:p>
    <w:p w14:paraId="2E85C35D" w14:textId="77777777" w:rsidR="007F3E5F" w:rsidRDefault="004C146D">
      <w:pPr>
        <w:ind w:left="-5"/>
      </w:pPr>
      <w:r>
        <w:rPr>
          <w:b/>
        </w:rPr>
        <w:t xml:space="preserve">Objectives:  </w:t>
      </w:r>
      <w:r>
        <w:t xml:space="preserve">Students will be able to identify spacecraft payloads and missions. </w:t>
      </w:r>
    </w:p>
    <w:p w14:paraId="5CA4819A" w14:textId="77777777" w:rsidR="007F3E5F" w:rsidRDefault="004C146D">
      <w:pPr>
        <w:ind w:left="280"/>
      </w:pPr>
      <w:r>
        <w:t xml:space="preserve">Students will be able to apply spacecraft dynamics to mission analysis and design. </w:t>
      </w:r>
    </w:p>
    <w:p w14:paraId="2E0CE157" w14:textId="77777777" w:rsidR="007F3E5F" w:rsidRDefault="004C146D">
      <w:pPr>
        <w:ind w:left="280"/>
      </w:pPr>
      <w:r>
        <w:t xml:space="preserve">Students will be able to design spacecraft subsystems to meet mission objectives. </w:t>
      </w:r>
    </w:p>
    <w:p w14:paraId="3F2D8BC4" w14:textId="77777777" w:rsidR="007F3E5F" w:rsidRDefault="004C146D">
      <w:pPr>
        <w:ind w:left="280"/>
      </w:pPr>
      <w:r>
        <w:t xml:space="preserve">Students will be able to communicate effectively. </w:t>
      </w:r>
    </w:p>
    <w:p w14:paraId="0BF3E15E" w14:textId="53FAE1A1" w:rsidR="003500D2" w:rsidRPr="003500D2" w:rsidRDefault="003500D2">
      <w:pPr>
        <w:ind w:left="255" w:hanging="270"/>
        <w:rPr>
          <w:b/>
          <w:u w:val="single"/>
        </w:rPr>
      </w:pPr>
      <w:r w:rsidRPr="003500D2">
        <w:rPr>
          <w:b/>
          <w:u w:val="single"/>
        </w:rPr>
        <w:t xml:space="preserve">Assignments </w:t>
      </w:r>
    </w:p>
    <w:p w14:paraId="065D6E02" w14:textId="4ADE61BE" w:rsidR="007F3E5F" w:rsidRDefault="00E15E97" w:rsidP="00E15E97">
      <w:pPr>
        <w:ind w:left="255" w:hanging="270"/>
      </w:pPr>
      <w:r w:rsidRPr="00E15E97">
        <w:rPr>
          <w:b/>
          <w:bCs/>
        </w:rPr>
        <w:t>Writing Assignments</w:t>
      </w:r>
      <w:r>
        <w:rPr>
          <w:b/>
        </w:rPr>
        <w:t>:</w:t>
      </w:r>
      <w:r>
        <w:t xml:space="preserve">  </w:t>
      </w:r>
      <w:r w:rsidR="009B12E9">
        <w:t>There will be</w:t>
      </w:r>
      <w:r>
        <w:t xml:space="preserve"> three </w:t>
      </w:r>
      <w:r w:rsidR="001A1CCB">
        <w:t>reports</w:t>
      </w:r>
      <w:r>
        <w:t xml:space="preserve"> assigned at various times during the semester, and each will be due </w:t>
      </w:r>
      <w:r w:rsidR="00897475">
        <w:t>one</w:t>
      </w:r>
      <w:r>
        <w:t xml:space="preserve"> or more weeks after they are first</w:t>
      </w:r>
      <w:r w:rsidRPr="00E15E97">
        <w:t xml:space="preserve"> </w:t>
      </w:r>
      <w:r>
        <w:t>assigned.  Late submissions will not normally be accepted and will receive a grade of 0. In the event of family or work emergency, please contact me before the due date to discuss arrangements for late submission. Grading rubric and examples will be included with each</w:t>
      </w:r>
      <w:r w:rsidRPr="00E15E97">
        <w:t xml:space="preserve"> </w:t>
      </w:r>
      <w:r>
        <w:t xml:space="preserve">assignment. </w:t>
      </w:r>
    </w:p>
    <w:p w14:paraId="2639E0EB" w14:textId="7BBD666E" w:rsidR="00971DFE" w:rsidRDefault="00971DFE" w:rsidP="00971DFE">
      <w:pPr>
        <w:ind w:left="255" w:hanging="270"/>
      </w:pPr>
      <w:r w:rsidRPr="00971DFE">
        <w:rPr>
          <w:b/>
          <w:bCs/>
        </w:rPr>
        <w:t>Design Presentation</w:t>
      </w:r>
      <w:r>
        <w:rPr>
          <w:b/>
        </w:rPr>
        <w:t>:</w:t>
      </w:r>
      <w:r>
        <w:t xml:space="preserve">  At the start of the semester, students will be given a specific mission to design to, and throughout the semester will accumulate data regarding their choice of components, orbit, operations, etc, for their satellite. A slide presentation on their design is due at the end of the semester.</w:t>
      </w:r>
    </w:p>
    <w:p w14:paraId="38AFF79A" w14:textId="5C6163F7" w:rsidR="007F3E5F" w:rsidRDefault="004C146D" w:rsidP="00E15E97">
      <w:pPr>
        <w:ind w:left="255" w:hanging="270"/>
      </w:pPr>
      <w:r>
        <w:rPr>
          <w:b/>
        </w:rPr>
        <w:t>Quizzes:</w:t>
      </w:r>
      <w:r>
        <w:t xml:space="preserve">  </w:t>
      </w:r>
      <w:r w:rsidR="00971DFE">
        <w:t>Q</w:t>
      </w:r>
      <w:r>
        <w:t>uizzes</w:t>
      </w:r>
      <w:r w:rsidR="00971DFE">
        <w:t xml:space="preserve"> will be conducted intermittently throughout the semester</w:t>
      </w:r>
      <w:r>
        <w:t xml:space="preserve">.  Most quiz questions are graded automatically by </w:t>
      </w:r>
      <w:r w:rsidR="00E15E97">
        <w:t>Canvas</w:t>
      </w:r>
      <w:r>
        <w:t xml:space="preserve">.  However, some questions (such as “essay” questions) </w:t>
      </w:r>
      <w:r w:rsidR="00E15E97">
        <w:t xml:space="preserve">will </w:t>
      </w:r>
      <w:r>
        <w:t xml:space="preserve">require me to grade.  </w:t>
      </w:r>
    </w:p>
    <w:p w14:paraId="51BAA5B6" w14:textId="77777777" w:rsidR="007F3E5F" w:rsidRDefault="004C146D">
      <w:pPr>
        <w:ind w:left="-5"/>
      </w:pPr>
      <w:r>
        <w:rPr>
          <w:b/>
        </w:rPr>
        <w:t>Matlab:</w:t>
      </w:r>
      <w:r>
        <w:t xml:space="preserve">  Proficiency using Matlab or other programming environment (such as Python or </w:t>
      </w:r>
    </w:p>
    <w:p w14:paraId="00741DFF" w14:textId="035591AC" w:rsidR="007F3E5F" w:rsidRDefault="004C146D">
      <w:pPr>
        <w:spacing w:after="109"/>
        <w:ind w:left="280"/>
      </w:pPr>
      <w:r>
        <w:t xml:space="preserve">Mathematica) is </w:t>
      </w:r>
      <w:r w:rsidR="003500D2">
        <w:t xml:space="preserve">not </w:t>
      </w:r>
      <w:r>
        <w:t>required</w:t>
      </w:r>
      <w:r w:rsidR="003500D2">
        <w:t>, but may be helpful for some of the assignments in the course</w:t>
      </w:r>
      <w:r>
        <w:t xml:space="preserve">. Matlab is available to all UNM students at http://it.unm.edu/download/ </w:t>
      </w:r>
    </w:p>
    <w:p w14:paraId="01AF822D" w14:textId="77777777" w:rsidR="007F3E5F" w:rsidRDefault="004C146D">
      <w:pPr>
        <w:ind w:left="255" w:hanging="270"/>
      </w:pPr>
      <w:r>
        <w:rPr>
          <w:b/>
        </w:rPr>
        <w:t>Make-Up Policy:</w:t>
      </w:r>
      <w:r>
        <w:t xml:space="preserve">  There are no make-up assignments. If you miss the assignment, you get a zero for it. If you cannot meet a due date, you must contact me </w:t>
      </w:r>
      <w:r>
        <w:rPr>
          <w:i/>
        </w:rPr>
        <w:t>before</w:t>
      </w:r>
      <w:r>
        <w:t xml:space="preserve"> the due date. Without prior arrangement, there will be no opportunity to make up the missed points. </w:t>
      </w:r>
    </w:p>
    <w:tbl>
      <w:tblPr>
        <w:tblStyle w:val="TableGrid"/>
        <w:tblW w:w="4879" w:type="dxa"/>
        <w:tblInd w:w="0" w:type="dxa"/>
        <w:tblLook w:val="04A0" w:firstRow="1" w:lastRow="0" w:firstColumn="1" w:lastColumn="0" w:noHBand="0" w:noVBand="1"/>
      </w:tblPr>
      <w:tblGrid>
        <w:gridCol w:w="2107"/>
        <w:gridCol w:w="2270"/>
        <w:gridCol w:w="502"/>
      </w:tblGrid>
      <w:tr w:rsidR="007F3E5F" w14:paraId="12128366" w14:textId="77777777">
        <w:trPr>
          <w:trHeight w:val="266"/>
        </w:trPr>
        <w:tc>
          <w:tcPr>
            <w:tcW w:w="2107" w:type="dxa"/>
            <w:tcBorders>
              <w:top w:val="nil"/>
              <w:left w:val="nil"/>
              <w:bottom w:val="nil"/>
              <w:right w:val="nil"/>
            </w:tcBorders>
          </w:tcPr>
          <w:p w14:paraId="4521B737" w14:textId="77777777" w:rsidR="007F3E5F" w:rsidRDefault="004C146D">
            <w:pPr>
              <w:spacing w:after="0" w:line="259" w:lineRule="auto"/>
              <w:ind w:left="0" w:firstLine="0"/>
            </w:pPr>
            <w:r>
              <w:rPr>
                <w:b/>
              </w:rPr>
              <w:t>Grading Policy:</w:t>
            </w:r>
            <w:r>
              <w:t xml:space="preserve"> </w:t>
            </w:r>
          </w:p>
        </w:tc>
        <w:tc>
          <w:tcPr>
            <w:tcW w:w="2270" w:type="dxa"/>
            <w:tcBorders>
              <w:top w:val="nil"/>
              <w:left w:val="nil"/>
              <w:bottom w:val="nil"/>
              <w:right w:val="nil"/>
            </w:tcBorders>
          </w:tcPr>
          <w:p w14:paraId="397E872B" w14:textId="4C428659" w:rsidR="007F3E5F" w:rsidRDefault="00F402D3">
            <w:pPr>
              <w:spacing w:after="0" w:line="259" w:lineRule="auto"/>
              <w:ind w:left="0" w:firstLine="0"/>
            </w:pPr>
            <w:r>
              <w:t>Quiz</w:t>
            </w:r>
            <w:r w:rsidR="003500D2">
              <w:t xml:space="preserve"> Average</w:t>
            </w:r>
          </w:p>
        </w:tc>
        <w:tc>
          <w:tcPr>
            <w:tcW w:w="502" w:type="dxa"/>
            <w:tcBorders>
              <w:top w:val="nil"/>
              <w:left w:val="nil"/>
              <w:bottom w:val="nil"/>
              <w:right w:val="nil"/>
            </w:tcBorders>
          </w:tcPr>
          <w:p w14:paraId="4614411B" w14:textId="1E7F81BF" w:rsidR="007F3E5F" w:rsidRDefault="00E13859">
            <w:pPr>
              <w:spacing w:after="0" w:line="259" w:lineRule="auto"/>
              <w:ind w:left="0" w:firstLine="0"/>
              <w:jc w:val="both"/>
            </w:pPr>
            <w:r>
              <w:t xml:space="preserve">20% </w:t>
            </w:r>
          </w:p>
        </w:tc>
      </w:tr>
      <w:tr w:rsidR="00CE069B" w14:paraId="7140A641" w14:textId="77777777">
        <w:trPr>
          <w:trHeight w:val="284"/>
        </w:trPr>
        <w:tc>
          <w:tcPr>
            <w:tcW w:w="2107" w:type="dxa"/>
            <w:tcBorders>
              <w:top w:val="nil"/>
              <w:left w:val="nil"/>
              <w:bottom w:val="nil"/>
              <w:right w:val="nil"/>
            </w:tcBorders>
          </w:tcPr>
          <w:p w14:paraId="66F0CF88" w14:textId="77777777" w:rsidR="00CE069B" w:rsidRDefault="00CE069B">
            <w:pPr>
              <w:spacing w:after="0" w:line="259" w:lineRule="auto"/>
              <w:ind w:left="0" w:firstLine="0"/>
            </w:pPr>
          </w:p>
        </w:tc>
        <w:tc>
          <w:tcPr>
            <w:tcW w:w="2270" w:type="dxa"/>
            <w:tcBorders>
              <w:top w:val="nil"/>
              <w:left w:val="nil"/>
              <w:bottom w:val="nil"/>
              <w:right w:val="nil"/>
            </w:tcBorders>
          </w:tcPr>
          <w:p w14:paraId="3F56822D" w14:textId="331642B0" w:rsidR="00CE069B" w:rsidRDefault="006438BF">
            <w:pPr>
              <w:spacing w:after="0" w:line="259" w:lineRule="auto"/>
              <w:ind w:left="0" w:firstLine="0"/>
            </w:pPr>
            <w:r>
              <w:t>Report</w:t>
            </w:r>
            <w:r w:rsidR="00CE069B">
              <w:t xml:space="preserve"> #1</w:t>
            </w:r>
          </w:p>
        </w:tc>
        <w:tc>
          <w:tcPr>
            <w:tcW w:w="502" w:type="dxa"/>
            <w:tcBorders>
              <w:top w:val="nil"/>
              <w:left w:val="nil"/>
              <w:bottom w:val="nil"/>
              <w:right w:val="nil"/>
            </w:tcBorders>
          </w:tcPr>
          <w:p w14:paraId="74CCD628" w14:textId="164B810B" w:rsidR="00CE069B" w:rsidRDefault="00E13859">
            <w:pPr>
              <w:spacing w:after="0" w:line="259" w:lineRule="auto"/>
              <w:ind w:left="0" w:firstLine="0"/>
              <w:jc w:val="both"/>
            </w:pPr>
            <w:r>
              <w:t>20</w:t>
            </w:r>
            <w:r w:rsidR="00CE069B">
              <w:t>%</w:t>
            </w:r>
          </w:p>
        </w:tc>
      </w:tr>
      <w:tr w:rsidR="00CE069B" w14:paraId="659A0B08" w14:textId="77777777">
        <w:trPr>
          <w:trHeight w:val="284"/>
        </w:trPr>
        <w:tc>
          <w:tcPr>
            <w:tcW w:w="2107" w:type="dxa"/>
            <w:tcBorders>
              <w:top w:val="nil"/>
              <w:left w:val="nil"/>
              <w:bottom w:val="nil"/>
              <w:right w:val="nil"/>
            </w:tcBorders>
          </w:tcPr>
          <w:p w14:paraId="64B45F93" w14:textId="77777777" w:rsidR="00CE069B" w:rsidRDefault="00CE069B">
            <w:pPr>
              <w:spacing w:after="0" w:line="259" w:lineRule="auto"/>
              <w:ind w:left="0" w:firstLine="0"/>
            </w:pPr>
          </w:p>
        </w:tc>
        <w:tc>
          <w:tcPr>
            <w:tcW w:w="2270" w:type="dxa"/>
            <w:tcBorders>
              <w:top w:val="nil"/>
              <w:left w:val="nil"/>
              <w:bottom w:val="nil"/>
              <w:right w:val="nil"/>
            </w:tcBorders>
          </w:tcPr>
          <w:p w14:paraId="76C37EB0" w14:textId="46DCC677" w:rsidR="00CE069B" w:rsidRDefault="006438BF">
            <w:pPr>
              <w:spacing w:after="0" w:line="259" w:lineRule="auto"/>
              <w:ind w:left="0" w:firstLine="0"/>
            </w:pPr>
            <w:r>
              <w:t xml:space="preserve">Report </w:t>
            </w:r>
            <w:r w:rsidR="00CE069B">
              <w:t>#2</w:t>
            </w:r>
          </w:p>
        </w:tc>
        <w:tc>
          <w:tcPr>
            <w:tcW w:w="502" w:type="dxa"/>
            <w:tcBorders>
              <w:top w:val="nil"/>
              <w:left w:val="nil"/>
              <w:bottom w:val="nil"/>
              <w:right w:val="nil"/>
            </w:tcBorders>
          </w:tcPr>
          <w:p w14:paraId="44E0228B" w14:textId="4E32A6D3" w:rsidR="00CE069B" w:rsidRDefault="00E13859">
            <w:pPr>
              <w:spacing w:after="0" w:line="259" w:lineRule="auto"/>
              <w:ind w:left="0" w:firstLine="0"/>
              <w:jc w:val="both"/>
            </w:pPr>
            <w:r>
              <w:t>20</w:t>
            </w:r>
            <w:r w:rsidR="00CE069B">
              <w:t>%</w:t>
            </w:r>
          </w:p>
        </w:tc>
      </w:tr>
      <w:tr w:rsidR="007F3E5F" w14:paraId="2BA83BC9" w14:textId="77777777">
        <w:trPr>
          <w:trHeight w:val="284"/>
        </w:trPr>
        <w:tc>
          <w:tcPr>
            <w:tcW w:w="2107" w:type="dxa"/>
            <w:tcBorders>
              <w:top w:val="nil"/>
              <w:left w:val="nil"/>
              <w:bottom w:val="nil"/>
              <w:right w:val="nil"/>
            </w:tcBorders>
          </w:tcPr>
          <w:p w14:paraId="6589D7A3" w14:textId="77777777" w:rsidR="007F3E5F" w:rsidRDefault="004C146D">
            <w:pPr>
              <w:spacing w:after="0" w:line="259" w:lineRule="auto"/>
              <w:ind w:left="0" w:firstLine="0"/>
            </w:pPr>
            <w:r>
              <w:t xml:space="preserve"> </w:t>
            </w:r>
          </w:p>
        </w:tc>
        <w:tc>
          <w:tcPr>
            <w:tcW w:w="2270" w:type="dxa"/>
            <w:tcBorders>
              <w:top w:val="nil"/>
              <w:left w:val="nil"/>
              <w:bottom w:val="nil"/>
              <w:right w:val="nil"/>
            </w:tcBorders>
          </w:tcPr>
          <w:p w14:paraId="74227C33" w14:textId="5CEB81C6" w:rsidR="007F3E5F" w:rsidRDefault="006438BF">
            <w:pPr>
              <w:spacing w:after="0" w:line="259" w:lineRule="auto"/>
              <w:ind w:left="0" w:firstLine="0"/>
            </w:pPr>
            <w:r>
              <w:t xml:space="preserve">Report </w:t>
            </w:r>
            <w:r w:rsidR="00CE069B">
              <w:t>#3</w:t>
            </w:r>
            <w:r w:rsidR="004C146D">
              <w:t xml:space="preserve"> </w:t>
            </w:r>
          </w:p>
        </w:tc>
        <w:tc>
          <w:tcPr>
            <w:tcW w:w="502" w:type="dxa"/>
            <w:tcBorders>
              <w:top w:val="nil"/>
              <w:left w:val="nil"/>
              <w:bottom w:val="nil"/>
              <w:right w:val="nil"/>
            </w:tcBorders>
          </w:tcPr>
          <w:p w14:paraId="6A03B79F" w14:textId="3FA8BE71" w:rsidR="007F3E5F" w:rsidRDefault="00E13859">
            <w:pPr>
              <w:spacing w:after="0" w:line="259" w:lineRule="auto"/>
              <w:ind w:left="0" w:firstLine="0"/>
              <w:jc w:val="both"/>
            </w:pPr>
            <w:r>
              <w:t xml:space="preserve">20% </w:t>
            </w:r>
          </w:p>
        </w:tc>
      </w:tr>
      <w:tr w:rsidR="007F3E5F" w14:paraId="461069D9" w14:textId="77777777">
        <w:trPr>
          <w:trHeight w:val="263"/>
        </w:trPr>
        <w:tc>
          <w:tcPr>
            <w:tcW w:w="2107" w:type="dxa"/>
            <w:tcBorders>
              <w:top w:val="nil"/>
              <w:left w:val="nil"/>
              <w:bottom w:val="nil"/>
              <w:right w:val="nil"/>
            </w:tcBorders>
          </w:tcPr>
          <w:p w14:paraId="68956E80" w14:textId="77777777" w:rsidR="007F3E5F" w:rsidRDefault="004C146D">
            <w:pPr>
              <w:spacing w:after="0" w:line="259" w:lineRule="auto"/>
              <w:ind w:left="0" w:firstLine="0"/>
            </w:pPr>
            <w:r>
              <w:t xml:space="preserve"> </w:t>
            </w:r>
          </w:p>
        </w:tc>
        <w:tc>
          <w:tcPr>
            <w:tcW w:w="2270" w:type="dxa"/>
            <w:tcBorders>
              <w:top w:val="nil"/>
              <w:left w:val="nil"/>
              <w:bottom w:val="nil"/>
              <w:right w:val="nil"/>
            </w:tcBorders>
          </w:tcPr>
          <w:p w14:paraId="47BD0C47" w14:textId="29CEDB98" w:rsidR="007F3E5F" w:rsidRDefault="00E13859">
            <w:pPr>
              <w:spacing w:after="0" w:line="259" w:lineRule="auto"/>
              <w:ind w:left="0" w:firstLine="0"/>
            </w:pPr>
            <w:r>
              <w:t>Design Presentation</w:t>
            </w:r>
          </w:p>
        </w:tc>
        <w:tc>
          <w:tcPr>
            <w:tcW w:w="502" w:type="dxa"/>
            <w:tcBorders>
              <w:top w:val="nil"/>
              <w:left w:val="nil"/>
              <w:bottom w:val="nil"/>
              <w:right w:val="nil"/>
            </w:tcBorders>
          </w:tcPr>
          <w:p w14:paraId="3A8CC939" w14:textId="0871C8CE" w:rsidR="007F3E5F" w:rsidRDefault="00CE069B">
            <w:pPr>
              <w:spacing w:after="0" w:line="259" w:lineRule="auto"/>
              <w:ind w:left="0" w:firstLine="0"/>
              <w:jc w:val="both"/>
            </w:pPr>
            <w:r>
              <w:t xml:space="preserve">20% </w:t>
            </w:r>
          </w:p>
        </w:tc>
      </w:tr>
    </w:tbl>
    <w:p w14:paraId="7EB97103" w14:textId="77777777" w:rsidR="007F3E5F" w:rsidRDefault="004C146D">
      <w:pPr>
        <w:spacing w:after="0" w:line="259" w:lineRule="auto"/>
        <w:ind w:left="0" w:firstLine="0"/>
      </w:pPr>
      <w:r>
        <w:rPr>
          <w:b/>
        </w:rPr>
        <w:t xml:space="preserve"> </w:t>
      </w:r>
    </w:p>
    <w:p w14:paraId="2B316F5C" w14:textId="77777777" w:rsidR="007F3E5F" w:rsidRDefault="004C146D">
      <w:pPr>
        <w:ind w:left="165" w:hanging="180"/>
      </w:pPr>
      <w:r>
        <w:rPr>
          <w:b/>
        </w:rPr>
        <w:t xml:space="preserve">Grading Scale:  </w:t>
      </w:r>
      <w:r>
        <w:t xml:space="preserve">The grading scale is given below, where the numbers are the percentage of the total weighted grades as defined in the Grading Policy above. </w:t>
      </w:r>
    </w:p>
    <w:tbl>
      <w:tblPr>
        <w:tblW w:w="0" w:type="auto"/>
        <w:tblInd w:w="657" w:type="dxa"/>
        <w:tblLayout w:type="fixed"/>
        <w:tblCellMar>
          <w:left w:w="0" w:type="dxa"/>
          <w:right w:w="0" w:type="dxa"/>
        </w:tblCellMar>
        <w:tblLook w:val="01E0" w:firstRow="1" w:lastRow="1" w:firstColumn="1" w:lastColumn="1" w:noHBand="0" w:noVBand="0"/>
      </w:tblPr>
      <w:tblGrid>
        <w:gridCol w:w="1341"/>
        <w:gridCol w:w="711"/>
      </w:tblGrid>
      <w:tr w:rsidR="003500D2" w14:paraId="25A91172" w14:textId="77777777" w:rsidTr="003500D2">
        <w:trPr>
          <w:trHeight w:val="294"/>
        </w:trPr>
        <w:tc>
          <w:tcPr>
            <w:tcW w:w="1341" w:type="dxa"/>
            <w:hideMark/>
          </w:tcPr>
          <w:p w14:paraId="6B62B1B5" w14:textId="77777777" w:rsidR="003500D2" w:rsidRDefault="003500D2">
            <w:pPr>
              <w:pStyle w:val="TableParagraph"/>
              <w:spacing w:line="274" w:lineRule="exact"/>
              <w:rPr>
                <w:sz w:val="24"/>
              </w:rPr>
            </w:pPr>
            <w:r>
              <w:rPr>
                <w:sz w:val="24"/>
              </w:rPr>
              <w:t>98-</w:t>
            </w:r>
            <w:r>
              <w:rPr>
                <w:spacing w:val="-5"/>
                <w:sz w:val="24"/>
              </w:rPr>
              <w:t>100</w:t>
            </w:r>
          </w:p>
        </w:tc>
        <w:tc>
          <w:tcPr>
            <w:tcW w:w="711" w:type="dxa"/>
            <w:hideMark/>
          </w:tcPr>
          <w:p w14:paraId="4448531B" w14:textId="77777777" w:rsidR="003500D2" w:rsidRDefault="003500D2">
            <w:pPr>
              <w:pStyle w:val="TableParagraph"/>
              <w:spacing w:line="274" w:lineRule="exact"/>
              <w:ind w:left="328"/>
              <w:rPr>
                <w:sz w:val="24"/>
              </w:rPr>
            </w:pPr>
            <w:r>
              <w:rPr>
                <w:spacing w:val="-5"/>
                <w:sz w:val="24"/>
              </w:rPr>
              <w:t>A+</w:t>
            </w:r>
          </w:p>
        </w:tc>
      </w:tr>
      <w:tr w:rsidR="003500D2" w14:paraId="2C4237D2" w14:textId="77777777" w:rsidTr="003500D2">
        <w:trPr>
          <w:trHeight w:val="298"/>
        </w:trPr>
        <w:tc>
          <w:tcPr>
            <w:tcW w:w="1341" w:type="dxa"/>
            <w:hideMark/>
          </w:tcPr>
          <w:p w14:paraId="620F05B3" w14:textId="77777777" w:rsidR="003500D2" w:rsidRDefault="003500D2">
            <w:pPr>
              <w:pStyle w:val="TableParagraph"/>
              <w:spacing w:line="279" w:lineRule="exact"/>
              <w:rPr>
                <w:sz w:val="24"/>
              </w:rPr>
            </w:pPr>
            <w:r>
              <w:rPr>
                <w:sz w:val="24"/>
              </w:rPr>
              <w:lastRenderedPageBreak/>
              <w:t>93-</w:t>
            </w:r>
            <w:r>
              <w:rPr>
                <w:spacing w:val="-2"/>
                <w:sz w:val="24"/>
              </w:rPr>
              <w:t>97.99</w:t>
            </w:r>
          </w:p>
        </w:tc>
        <w:tc>
          <w:tcPr>
            <w:tcW w:w="711" w:type="dxa"/>
            <w:hideMark/>
          </w:tcPr>
          <w:p w14:paraId="755A8236" w14:textId="77777777" w:rsidR="003500D2" w:rsidRDefault="003500D2">
            <w:pPr>
              <w:pStyle w:val="TableParagraph"/>
              <w:spacing w:line="279" w:lineRule="exact"/>
              <w:ind w:left="329"/>
              <w:rPr>
                <w:sz w:val="24"/>
              </w:rPr>
            </w:pPr>
            <w:r>
              <w:rPr>
                <w:sz w:val="24"/>
              </w:rPr>
              <w:t>A</w:t>
            </w:r>
          </w:p>
        </w:tc>
      </w:tr>
      <w:tr w:rsidR="003500D2" w14:paraId="530A2E57" w14:textId="77777777" w:rsidTr="003500D2">
        <w:trPr>
          <w:trHeight w:val="298"/>
        </w:trPr>
        <w:tc>
          <w:tcPr>
            <w:tcW w:w="1341" w:type="dxa"/>
            <w:hideMark/>
          </w:tcPr>
          <w:p w14:paraId="036443D7" w14:textId="77777777" w:rsidR="003500D2" w:rsidRDefault="003500D2">
            <w:pPr>
              <w:pStyle w:val="TableParagraph"/>
              <w:rPr>
                <w:sz w:val="24"/>
              </w:rPr>
            </w:pPr>
            <w:r>
              <w:rPr>
                <w:sz w:val="24"/>
              </w:rPr>
              <w:t>90-</w:t>
            </w:r>
            <w:r>
              <w:rPr>
                <w:spacing w:val="-2"/>
                <w:sz w:val="24"/>
              </w:rPr>
              <w:t>92.99</w:t>
            </w:r>
          </w:p>
        </w:tc>
        <w:tc>
          <w:tcPr>
            <w:tcW w:w="711" w:type="dxa"/>
            <w:hideMark/>
          </w:tcPr>
          <w:p w14:paraId="388B4CB3" w14:textId="77777777" w:rsidR="003500D2" w:rsidRDefault="003500D2">
            <w:pPr>
              <w:pStyle w:val="TableParagraph"/>
              <w:ind w:left="328"/>
              <w:rPr>
                <w:sz w:val="24"/>
              </w:rPr>
            </w:pPr>
            <w:r>
              <w:rPr>
                <w:spacing w:val="-5"/>
                <w:sz w:val="24"/>
              </w:rPr>
              <w:t>A-</w:t>
            </w:r>
          </w:p>
        </w:tc>
      </w:tr>
      <w:tr w:rsidR="003500D2" w14:paraId="65C13028" w14:textId="77777777" w:rsidTr="003500D2">
        <w:trPr>
          <w:trHeight w:val="298"/>
        </w:trPr>
        <w:tc>
          <w:tcPr>
            <w:tcW w:w="1341" w:type="dxa"/>
            <w:hideMark/>
          </w:tcPr>
          <w:p w14:paraId="48A0AC1A" w14:textId="77777777" w:rsidR="003500D2" w:rsidRDefault="003500D2">
            <w:pPr>
              <w:pStyle w:val="TableParagraph"/>
              <w:rPr>
                <w:sz w:val="24"/>
              </w:rPr>
            </w:pPr>
            <w:r>
              <w:rPr>
                <w:sz w:val="24"/>
              </w:rPr>
              <w:t>87-</w:t>
            </w:r>
            <w:r>
              <w:rPr>
                <w:spacing w:val="-2"/>
                <w:sz w:val="24"/>
              </w:rPr>
              <w:t>89.99</w:t>
            </w:r>
          </w:p>
        </w:tc>
        <w:tc>
          <w:tcPr>
            <w:tcW w:w="711" w:type="dxa"/>
            <w:hideMark/>
          </w:tcPr>
          <w:p w14:paraId="56F73BE2" w14:textId="77777777" w:rsidR="003500D2" w:rsidRDefault="003500D2">
            <w:pPr>
              <w:pStyle w:val="TableParagraph"/>
              <w:ind w:left="328"/>
              <w:rPr>
                <w:sz w:val="24"/>
              </w:rPr>
            </w:pPr>
            <w:r>
              <w:rPr>
                <w:spacing w:val="-5"/>
                <w:sz w:val="24"/>
              </w:rPr>
              <w:t>B+</w:t>
            </w:r>
          </w:p>
        </w:tc>
      </w:tr>
      <w:tr w:rsidR="003500D2" w14:paraId="33ACCF40" w14:textId="77777777" w:rsidTr="003500D2">
        <w:trPr>
          <w:trHeight w:val="298"/>
        </w:trPr>
        <w:tc>
          <w:tcPr>
            <w:tcW w:w="1341" w:type="dxa"/>
            <w:hideMark/>
          </w:tcPr>
          <w:p w14:paraId="3F614D51" w14:textId="77777777" w:rsidR="003500D2" w:rsidRDefault="003500D2">
            <w:pPr>
              <w:pStyle w:val="TableParagraph"/>
              <w:rPr>
                <w:sz w:val="24"/>
              </w:rPr>
            </w:pPr>
            <w:r>
              <w:rPr>
                <w:sz w:val="24"/>
              </w:rPr>
              <w:t>83-</w:t>
            </w:r>
            <w:r>
              <w:rPr>
                <w:spacing w:val="-2"/>
                <w:sz w:val="24"/>
              </w:rPr>
              <w:t>86.99</w:t>
            </w:r>
          </w:p>
        </w:tc>
        <w:tc>
          <w:tcPr>
            <w:tcW w:w="711" w:type="dxa"/>
            <w:hideMark/>
          </w:tcPr>
          <w:p w14:paraId="12DFEDA7" w14:textId="77777777" w:rsidR="003500D2" w:rsidRDefault="003500D2">
            <w:pPr>
              <w:pStyle w:val="TableParagraph"/>
              <w:ind w:left="328"/>
              <w:rPr>
                <w:sz w:val="24"/>
              </w:rPr>
            </w:pPr>
            <w:r>
              <w:rPr>
                <w:sz w:val="24"/>
              </w:rPr>
              <w:t>B</w:t>
            </w:r>
          </w:p>
        </w:tc>
      </w:tr>
      <w:tr w:rsidR="003500D2" w14:paraId="7580F8C7" w14:textId="77777777" w:rsidTr="003500D2">
        <w:trPr>
          <w:trHeight w:val="298"/>
        </w:trPr>
        <w:tc>
          <w:tcPr>
            <w:tcW w:w="1341" w:type="dxa"/>
            <w:hideMark/>
          </w:tcPr>
          <w:p w14:paraId="07978AD8" w14:textId="77777777" w:rsidR="003500D2" w:rsidRDefault="003500D2">
            <w:pPr>
              <w:pStyle w:val="TableParagraph"/>
              <w:rPr>
                <w:sz w:val="24"/>
              </w:rPr>
            </w:pPr>
            <w:r>
              <w:rPr>
                <w:sz w:val="24"/>
              </w:rPr>
              <w:t>80-</w:t>
            </w:r>
            <w:r>
              <w:rPr>
                <w:spacing w:val="-2"/>
                <w:sz w:val="24"/>
              </w:rPr>
              <w:t>82.99</w:t>
            </w:r>
          </w:p>
        </w:tc>
        <w:tc>
          <w:tcPr>
            <w:tcW w:w="711" w:type="dxa"/>
            <w:hideMark/>
          </w:tcPr>
          <w:p w14:paraId="5BB6239C" w14:textId="77777777" w:rsidR="003500D2" w:rsidRDefault="003500D2">
            <w:pPr>
              <w:pStyle w:val="TableParagraph"/>
              <w:ind w:left="329"/>
              <w:rPr>
                <w:sz w:val="24"/>
              </w:rPr>
            </w:pPr>
            <w:r>
              <w:rPr>
                <w:spacing w:val="-5"/>
                <w:sz w:val="24"/>
              </w:rPr>
              <w:t>B-</w:t>
            </w:r>
          </w:p>
        </w:tc>
      </w:tr>
      <w:tr w:rsidR="003500D2" w14:paraId="51468EC6" w14:textId="77777777" w:rsidTr="003500D2">
        <w:trPr>
          <w:trHeight w:val="298"/>
        </w:trPr>
        <w:tc>
          <w:tcPr>
            <w:tcW w:w="1341" w:type="dxa"/>
            <w:hideMark/>
          </w:tcPr>
          <w:p w14:paraId="6FD4D3B7" w14:textId="77777777" w:rsidR="003500D2" w:rsidRDefault="003500D2">
            <w:pPr>
              <w:pStyle w:val="TableParagraph"/>
              <w:rPr>
                <w:sz w:val="24"/>
              </w:rPr>
            </w:pPr>
            <w:r>
              <w:rPr>
                <w:sz w:val="24"/>
              </w:rPr>
              <w:t>77-</w:t>
            </w:r>
            <w:r>
              <w:rPr>
                <w:spacing w:val="-2"/>
                <w:sz w:val="24"/>
              </w:rPr>
              <w:t>79.99</w:t>
            </w:r>
          </w:p>
        </w:tc>
        <w:tc>
          <w:tcPr>
            <w:tcW w:w="711" w:type="dxa"/>
            <w:hideMark/>
          </w:tcPr>
          <w:p w14:paraId="52CB0333" w14:textId="77777777" w:rsidR="003500D2" w:rsidRDefault="003500D2">
            <w:pPr>
              <w:pStyle w:val="TableParagraph"/>
              <w:ind w:left="328"/>
              <w:rPr>
                <w:sz w:val="24"/>
              </w:rPr>
            </w:pPr>
            <w:r>
              <w:rPr>
                <w:spacing w:val="-5"/>
                <w:sz w:val="24"/>
              </w:rPr>
              <w:t>C+</w:t>
            </w:r>
          </w:p>
        </w:tc>
      </w:tr>
      <w:tr w:rsidR="003500D2" w14:paraId="737E0497" w14:textId="77777777" w:rsidTr="003500D2">
        <w:trPr>
          <w:trHeight w:val="298"/>
        </w:trPr>
        <w:tc>
          <w:tcPr>
            <w:tcW w:w="1341" w:type="dxa"/>
            <w:hideMark/>
          </w:tcPr>
          <w:p w14:paraId="1AE01434" w14:textId="77777777" w:rsidR="003500D2" w:rsidRDefault="003500D2">
            <w:pPr>
              <w:pStyle w:val="TableParagraph"/>
              <w:rPr>
                <w:sz w:val="24"/>
              </w:rPr>
            </w:pPr>
            <w:r>
              <w:rPr>
                <w:sz w:val="24"/>
              </w:rPr>
              <w:t>73-</w:t>
            </w:r>
            <w:r>
              <w:rPr>
                <w:spacing w:val="-2"/>
                <w:sz w:val="24"/>
              </w:rPr>
              <w:t>76.99</w:t>
            </w:r>
          </w:p>
        </w:tc>
        <w:tc>
          <w:tcPr>
            <w:tcW w:w="711" w:type="dxa"/>
            <w:hideMark/>
          </w:tcPr>
          <w:p w14:paraId="2173D34D" w14:textId="77777777" w:rsidR="003500D2" w:rsidRDefault="003500D2">
            <w:pPr>
              <w:pStyle w:val="TableParagraph"/>
              <w:ind w:left="329"/>
              <w:rPr>
                <w:sz w:val="24"/>
              </w:rPr>
            </w:pPr>
            <w:r>
              <w:rPr>
                <w:sz w:val="24"/>
              </w:rPr>
              <w:t>C</w:t>
            </w:r>
          </w:p>
        </w:tc>
      </w:tr>
      <w:tr w:rsidR="003500D2" w14:paraId="27CAD0B5" w14:textId="77777777" w:rsidTr="003500D2">
        <w:trPr>
          <w:trHeight w:val="298"/>
        </w:trPr>
        <w:tc>
          <w:tcPr>
            <w:tcW w:w="1341" w:type="dxa"/>
            <w:hideMark/>
          </w:tcPr>
          <w:p w14:paraId="448309F8" w14:textId="77777777" w:rsidR="003500D2" w:rsidRDefault="003500D2">
            <w:pPr>
              <w:pStyle w:val="TableParagraph"/>
              <w:rPr>
                <w:sz w:val="24"/>
              </w:rPr>
            </w:pPr>
            <w:r>
              <w:rPr>
                <w:sz w:val="24"/>
              </w:rPr>
              <w:t>70-</w:t>
            </w:r>
            <w:r>
              <w:rPr>
                <w:spacing w:val="-2"/>
                <w:sz w:val="24"/>
              </w:rPr>
              <w:t>72.99</w:t>
            </w:r>
          </w:p>
        </w:tc>
        <w:tc>
          <w:tcPr>
            <w:tcW w:w="711" w:type="dxa"/>
            <w:hideMark/>
          </w:tcPr>
          <w:p w14:paraId="72224555" w14:textId="77777777" w:rsidR="003500D2" w:rsidRDefault="003500D2">
            <w:pPr>
              <w:pStyle w:val="TableParagraph"/>
              <w:ind w:left="328"/>
              <w:rPr>
                <w:sz w:val="24"/>
              </w:rPr>
            </w:pPr>
            <w:r>
              <w:rPr>
                <w:spacing w:val="-5"/>
                <w:sz w:val="24"/>
              </w:rPr>
              <w:t>C-</w:t>
            </w:r>
          </w:p>
        </w:tc>
      </w:tr>
      <w:tr w:rsidR="003500D2" w14:paraId="356E74E4" w14:textId="77777777" w:rsidTr="003500D2">
        <w:trPr>
          <w:trHeight w:val="298"/>
        </w:trPr>
        <w:tc>
          <w:tcPr>
            <w:tcW w:w="1341" w:type="dxa"/>
            <w:hideMark/>
          </w:tcPr>
          <w:p w14:paraId="2AB568ED" w14:textId="77777777" w:rsidR="003500D2" w:rsidRDefault="003500D2">
            <w:pPr>
              <w:pStyle w:val="TableParagraph"/>
              <w:rPr>
                <w:sz w:val="24"/>
              </w:rPr>
            </w:pPr>
            <w:r>
              <w:rPr>
                <w:sz w:val="24"/>
              </w:rPr>
              <w:t>67-</w:t>
            </w:r>
            <w:r>
              <w:rPr>
                <w:spacing w:val="-2"/>
                <w:sz w:val="24"/>
              </w:rPr>
              <w:t>69.99</w:t>
            </w:r>
          </w:p>
        </w:tc>
        <w:tc>
          <w:tcPr>
            <w:tcW w:w="711" w:type="dxa"/>
            <w:hideMark/>
          </w:tcPr>
          <w:p w14:paraId="0C871648" w14:textId="77777777" w:rsidR="003500D2" w:rsidRDefault="003500D2">
            <w:pPr>
              <w:pStyle w:val="TableParagraph"/>
              <w:ind w:left="328"/>
              <w:rPr>
                <w:sz w:val="24"/>
              </w:rPr>
            </w:pPr>
            <w:r>
              <w:rPr>
                <w:spacing w:val="-5"/>
                <w:sz w:val="24"/>
              </w:rPr>
              <w:t>D+</w:t>
            </w:r>
          </w:p>
        </w:tc>
      </w:tr>
      <w:tr w:rsidR="003500D2" w14:paraId="079E0385" w14:textId="77777777" w:rsidTr="003500D2">
        <w:trPr>
          <w:trHeight w:val="298"/>
        </w:trPr>
        <w:tc>
          <w:tcPr>
            <w:tcW w:w="1341" w:type="dxa"/>
            <w:hideMark/>
          </w:tcPr>
          <w:p w14:paraId="69871329" w14:textId="77777777" w:rsidR="003500D2" w:rsidRDefault="003500D2">
            <w:pPr>
              <w:pStyle w:val="TableParagraph"/>
              <w:rPr>
                <w:sz w:val="24"/>
              </w:rPr>
            </w:pPr>
            <w:r>
              <w:rPr>
                <w:sz w:val="24"/>
              </w:rPr>
              <w:t>63-</w:t>
            </w:r>
            <w:r>
              <w:rPr>
                <w:spacing w:val="-2"/>
                <w:sz w:val="24"/>
              </w:rPr>
              <w:t>66.99</w:t>
            </w:r>
          </w:p>
        </w:tc>
        <w:tc>
          <w:tcPr>
            <w:tcW w:w="711" w:type="dxa"/>
            <w:hideMark/>
          </w:tcPr>
          <w:p w14:paraId="7DF6FEE8" w14:textId="77777777" w:rsidR="003500D2" w:rsidRDefault="003500D2">
            <w:pPr>
              <w:pStyle w:val="TableParagraph"/>
              <w:ind w:left="329"/>
              <w:rPr>
                <w:sz w:val="24"/>
              </w:rPr>
            </w:pPr>
            <w:r>
              <w:rPr>
                <w:sz w:val="24"/>
              </w:rPr>
              <w:t>D</w:t>
            </w:r>
          </w:p>
        </w:tc>
      </w:tr>
      <w:tr w:rsidR="003500D2" w14:paraId="127C00F3" w14:textId="77777777" w:rsidTr="003500D2">
        <w:trPr>
          <w:trHeight w:val="298"/>
        </w:trPr>
        <w:tc>
          <w:tcPr>
            <w:tcW w:w="1341" w:type="dxa"/>
            <w:hideMark/>
          </w:tcPr>
          <w:p w14:paraId="53F9B4E5" w14:textId="77777777" w:rsidR="003500D2" w:rsidRDefault="003500D2">
            <w:pPr>
              <w:pStyle w:val="TableParagraph"/>
              <w:rPr>
                <w:sz w:val="24"/>
              </w:rPr>
            </w:pPr>
            <w:r>
              <w:rPr>
                <w:sz w:val="24"/>
              </w:rPr>
              <w:t>60-</w:t>
            </w:r>
            <w:r>
              <w:rPr>
                <w:spacing w:val="-2"/>
                <w:sz w:val="24"/>
              </w:rPr>
              <w:t>62.99</w:t>
            </w:r>
          </w:p>
        </w:tc>
        <w:tc>
          <w:tcPr>
            <w:tcW w:w="711" w:type="dxa"/>
            <w:hideMark/>
          </w:tcPr>
          <w:p w14:paraId="2D9D9C25" w14:textId="77777777" w:rsidR="003500D2" w:rsidRDefault="003500D2">
            <w:pPr>
              <w:pStyle w:val="TableParagraph"/>
              <w:ind w:left="328"/>
              <w:rPr>
                <w:sz w:val="24"/>
              </w:rPr>
            </w:pPr>
            <w:r>
              <w:rPr>
                <w:spacing w:val="-5"/>
                <w:sz w:val="24"/>
              </w:rPr>
              <w:t>D-</w:t>
            </w:r>
          </w:p>
        </w:tc>
      </w:tr>
      <w:tr w:rsidR="003500D2" w14:paraId="6F7585CD" w14:textId="77777777" w:rsidTr="003500D2">
        <w:trPr>
          <w:trHeight w:val="294"/>
        </w:trPr>
        <w:tc>
          <w:tcPr>
            <w:tcW w:w="1341" w:type="dxa"/>
            <w:hideMark/>
          </w:tcPr>
          <w:p w14:paraId="3A3D2506" w14:textId="77777777" w:rsidR="003500D2" w:rsidRDefault="003500D2">
            <w:pPr>
              <w:pStyle w:val="TableParagraph"/>
              <w:spacing w:line="274" w:lineRule="exact"/>
              <w:rPr>
                <w:sz w:val="24"/>
              </w:rPr>
            </w:pPr>
            <w:r>
              <w:rPr>
                <w:sz w:val="24"/>
              </w:rPr>
              <w:t xml:space="preserve">Below </w:t>
            </w:r>
            <w:r>
              <w:rPr>
                <w:spacing w:val="-5"/>
                <w:sz w:val="24"/>
              </w:rPr>
              <w:t>60</w:t>
            </w:r>
          </w:p>
        </w:tc>
        <w:tc>
          <w:tcPr>
            <w:tcW w:w="711" w:type="dxa"/>
            <w:hideMark/>
          </w:tcPr>
          <w:p w14:paraId="56C21A3D" w14:textId="77777777" w:rsidR="003500D2" w:rsidRDefault="003500D2">
            <w:pPr>
              <w:pStyle w:val="TableParagraph"/>
              <w:spacing w:line="274" w:lineRule="exact"/>
              <w:ind w:left="329"/>
              <w:rPr>
                <w:sz w:val="24"/>
              </w:rPr>
            </w:pPr>
            <w:r>
              <w:rPr>
                <w:sz w:val="24"/>
              </w:rPr>
              <w:t>F</w:t>
            </w:r>
          </w:p>
        </w:tc>
      </w:tr>
    </w:tbl>
    <w:p w14:paraId="052ABD3D" w14:textId="77777777" w:rsidR="003500D2" w:rsidRDefault="003500D2">
      <w:pPr>
        <w:ind w:left="255" w:hanging="270"/>
        <w:rPr>
          <w:b/>
        </w:rPr>
      </w:pPr>
      <w:r>
        <w:rPr>
          <w:b/>
        </w:rPr>
        <w:t xml:space="preserve"> </w:t>
      </w:r>
    </w:p>
    <w:p w14:paraId="114488B3" w14:textId="77777777" w:rsidR="007F3E5F" w:rsidRDefault="004C146D">
      <w:pPr>
        <w:spacing w:after="119" w:line="235" w:lineRule="auto"/>
      </w:pPr>
      <w:r>
        <w:rPr>
          <w:b/>
        </w:rPr>
        <w:t xml:space="preserve">Topics:  </w:t>
      </w:r>
      <w:r>
        <w:rPr>
          <w:i/>
        </w:rPr>
        <w:t>Learning Outcomes</w:t>
      </w:r>
      <w:r>
        <w:t xml:space="preserve"> </w:t>
      </w:r>
    </w:p>
    <w:p w14:paraId="0D3CF001" w14:textId="100BC633" w:rsidR="007F3E5F" w:rsidRDefault="004C146D">
      <w:pPr>
        <w:ind w:left="-5"/>
      </w:pPr>
      <w:r>
        <w:t xml:space="preserve">Space Systems Design </w:t>
      </w:r>
    </w:p>
    <w:p w14:paraId="75D019F2" w14:textId="77777777" w:rsidR="007F3E5F" w:rsidRDefault="004C146D">
      <w:pPr>
        <w:spacing w:after="5" w:line="235" w:lineRule="auto"/>
        <w:ind w:left="0" w:right="1231" w:firstLine="270"/>
      </w:pPr>
      <w:r>
        <w:rPr>
          <w:i/>
        </w:rPr>
        <w:t xml:space="preserve">Students will be able to list and describe the steps in the spacecraft design process. </w:t>
      </w:r>
      <w:r>
        <w:t xml:space="preserve">2.  Introduction to Astrodynamics </w:t>
      </w:r>
    </w:p>
    <w:p w14:paraId="4B8052F9" w14:textId="77777777" w:rsidR="007F3E5F" w:rsidRDefault="004C146D">
      <w:pPr>
        <w:spacing w:after="5" w:line="235" w:lineRule="auto"/>
        <w:ind w:left="265"/>
      </w:pPr>
      <w:r>
        <w:rPr>
          <w:i/>
        </w:rPr>
        <w:t xml:space="preserve">Students will be able to quantify relationships between space flight dynamics and space mission requirements.  </w:t>
      </w:r>
    </w:p>
    <w:p w14:paraId="14FBF041" w14:textId="77777777" w:rsidR="007F3E5F" w:rsidRDefault="004C146D" w:rsidP="006163CD">
      <w:pPr>
        <w:ind w:left="0" w:firstLine="0"/>
      </w:pPr>
      <w:r>
        <w:t xml:space="preserve">The Space Environment </w:t>
      </w:r>
    </w:p>
    <w:p w14:paraId="203CA044" w14:textId="77777777" w:rsidR="007F3E5F" w:rsidRDefault="004C146D">
      <w:pPr>
        <w:spacing w:after="5" w:line="235" w:lineRule="auto"/>
        <w:ind w:left="265"/>
      </w:pPr>
      <w:r>
        <w:rPr>
          <w:i/>
        </w:rPr>
        <w:t xml:space="preserve">Students can describe the key environmental factors affecting the operation of a space system operating in Earth orbit, and can relate these factors to design requirements. </w:t>
      </w:r>
    </w:p>
    <w:p w14:paraId="50DD2273" w14:textId="77777777" w:rsidR="007F3E5F" w:rsidRDefault="004C146D" w:rsidP="006163CD">
      <w:pPr>
        <w:ind w:left="0" w:firstLine="0"/>
      </w:pPr>
      <w:r>
        <w:t xml:space="preserve">Spacecraft  Propulsion </w:t>
      </w:r>
    </w:p>
    <w:p w14:paraId="4E7F7622" w14:textId="77777777" w:rsidR="007F3E5F" w:rsidRDefault="004C146D">
      <w:pPr>
        <w:spacing w:after="5" w:line="235" w:lineRule="auto"/>
        <w:ind w:left="265"/>
      </w:pPr>
      <w:r>
        <w:rPr>
          <w:i/>
        </w:rPr>
        <w:t xml:space="preserve">Students can describe the basic types and applications of spacecraft propulsion systems, and can apply basic techniques for preliminary design and sizing of propulsion systems. </w:t>
      </w:r>
    </w:p>
    <w:p w14:paraId="0AE3E6D3" w14:textId="77777777" w:rsidR="007F3E5F" w:rsidRDefault="004C146D" w:rsidP="006163CD">
      <w:pPr>
        <w:ind w:left="0" w:firstLine="0"/>
      </w:pPr>
      <w:r>
        <w:t xml:space="preserve">Launch Vehicles </w:t>
      </w:r>
    </w:p>
    <w:p w14:paraId="641AD26A" w14:textId="77777777" w:rsidR="007F3E5F" w:rsidRDefault="004C146D">
      <w:pPr>
        <w:spacing w:after="5" w:line="235" w:lineRule="auto"/>
        <w:ind w:left="265"/>
      </w:pPr>
      <w:r>
        <w:rPr>
          <w:i/>
        </w:rPr>
        <w:t xml:space="preserve">Students can relate mission requirements to launch vehicle selection. </w:t>
      </w:r>
    </w:p>
    <w:p w14:paraId="74071B53" w14:textId="77777777" w:rsidR="007F3E5F" w:rsidRDefault="004C146D" w:rsidP="006163CD">
      <w:pPr>
        <w:ind w:left="0" w:firstLine="0"/>
      </w:pPr>
      <w:r>
        <w:t xml:space="preserve">Attitude Determination and Control </w:t>
      </w:r>
    </w:p>
    <w:p w14:paraId="4FB031CB" w14:textId="77777777" w:rsidR="007F3E5F" w:rsidRDefault="004C146D">
      <w:pPr>
        <w:spacing w:after="5" w:line="235" w:lineRule="auto"/>
        <w:ind w:left="265"/>
      </w:pPr>
      <w:r>
        <w:rPr>
          <w:i/>
        </w:rPr>
        <w:t xml:space="preserve">Students can describe the basic types and applications of spacecraft attitude determination and control systems.  Students can apply basic techniques for preliminary design and sizing of ADCS systems. </w:t>
      </w:r>
    </w:p>
    <w:p w14:paraId="35730F4A" w14:textId="77777777" w:rsidR="007F3E5F" w:rsidRDefault="004C146D" w:rsidP="006163CD">
      <w:pPr>
        <w:ind w:left="0" w:firstLine="0"/>
      </w:pPr>
      <w:r>
        <w:t xml:space="preserve">Structures and Mechanisms </w:t>
      </w:r>
    </w:p>
    <w:p w14:paraId="1A1E5BDB" w14:textId="77777777" w:rsidR="007F3E5F" w:rsidRDefault="004C146D">
      <w:pPr>
        <w:spacing w:after="5" w:line="235" w:lineRule="auto"/>
        <w:ind w:left="265"/>
      </w:pPr>
      <w:r>
        <w:rPr>
          <w:i/>
        </w:rPr>
        <w:t xml:space="preserve">Students can describe the typical interfaces and environmental effects that a spacecraft structural design must accommodate.  Students can apply basic techniques for preliminary design and sizing of structural systems. </w:t>
      </w:r>
    </w:p>
    <w:p w14:paraId="19B6AF76" w14:textId="77777777" w:rsidR="007F3E5F" w:rsidRDefault="004C146D" w:rsidP="006163CD">
      <w:pPr>
        <w:ind w:left="0" w:firstLine="0"/>
      </w:pPr>
      <w:r>
        <w:t xml:space="preserve">Power Systems </w:t>
      </w:r>
    </w:p>
    <w:p w14:paraId="1075FF9D" w14:textId="77777777" w:rsidR="007F3E5F" w:rsidRDefault="004C146D">
      <w:pPr>
        <w:spacing w:after="5" w:line="235" w:lineRule="auto"/>
        <w:ind w:left="265"/>
      </w:pPr>
      <w:r>
        <w:rPr>
          <w:i/>
        </w:rPr>
        <w:t xml:space="preserve">Students can describe the basic types and applications of spacecraft power systems.  Students can apply basic techniques for preliminary design and sizing of power systems. </w:t>
      </w:r>
    </w:p>
    <w:p w14:paraId="19DBD0ED" w14:textId="77777777" w:rsidR="007F3E5F" w:rsidRDefault="004C146D" w:rsidP="006163CD">
      <w:pPr>
        <w:ind w:left="0" w:firstLine="0"/>
      </w:pPr>
      <w:r>
        <w:t xml:space="preserve">Thermal  Control </w:t>
      </w:r>
    </w:p>
    <w:p w14:paraId="20EAD1FE" w14:textId="77777777" w:rsidR="007F3E5F" w:rsidRDefault="004C146D">
      <w:pPr>
        <w:spacing w:after="5" w:line="235" w:lineRule="auto"/>
        <w:ind w:left="265"/>
      </w:pPr>
      <w:r>
        <w:rPr>
          <w:i/>
        </w:rPr>
        <w:t xml:space="preserve">Students can analyze the thermal environment and its effects on a spacecraft and its subsystems. Students can apply basic techniques for preliminary design and sizing of active and passive thermal control systems. </w:t>
      </w:r>
    </w:p>
    <w:p w14:paraId="6B86B218" w14:textId="47185EE2" w:rsidR="007F3E5F" w:rsidRDefault="004C146D">
      <w:pPr>
        <w:ind w:left="-5"/>
      </w:pPr>
      <w:r>
        <w:t xml:space="preserve">Communications </w:t>
      </w:r>
    </w:p>
    <w:p w14:paraId="296B4518" w14:textId="77777777" w:rsidR="007F3E5F" w:rsidRDefault="004C146D">
      <w:pPr>
        <w:spacing w:after="5" w:line="235" w:lineRule="auto"/>
        <w:ind w:left="265"/>
      </w:pPr>
      <w:r>
        <w:rPr>
          <w:i/>
        </w:rPr>
        <w:t xml:space="preserve">Students can describe the fundamental elements of radio communications used for spacecraft.  Students can organize and compute a link budget for a space application.  Students can apply basic techniques for preliminary design and sizing of communication systems. </w:t>
      </w:r>
    </w:p>
    <w:p w14:paraId="134685A9" w14:textId="0D5CA092" w:rsidR="007F3E5F" w:rsidRDefault="004C146D">
      <w:pPr>
        <w:ind w:left="-5"/>
      </w:pPr>
      <w:r>
        <w:t xml:space="preserve">Small Spacecraft Design </w:t>
      </w:r>
    </w:p>
    <w:p w14:paraId="13825301" w14:textId="77777777" w:rsidR="007F3E5F" w:rsidRDefault="004C146D">
      <w:pPr>
        <w:spacing w:after="5" w:line="235" w:lineRule="auto"/>
        <w:ind w:left="265"/>
      </w:pPr>
      <w:r>
        <w:rPr>
          <w:i/>
        </w:rPr>
        <w:t xml:space="preserve">Students can integrate all course design topics into a single small spacecraft design. </w:t>
      </w:r>
    </w:p>
    <w:p w14:paraId="09B70018" w14:textId="77777777" w:rsidR="007F3E5F" w:rsidRDefault="004C146D">
      <w:pPr>
        <w:spacing w:after="0" w:line="259" w:lineRule="auto"/>
        <w:ind w:left="270" w:firstLine="0"/>
      </w:pPr>
      <w:r>
        <w:t xml:space="preserve"> </w:t>
      </w:r>
    </w:p>
    <w:p w14:paraId="4C8B4B12" w14:textId="77777777" w:rsidR="007F3E5F" w:rsidRDefault="004C146D">
      <w:pPr>
        <w:spacing w:after="103" w:line="259" w:lineRule="auto"/>
        <w:ind w:left="0" w:firstLine="0"/>
      </w:pPr>
      <w:r>
        <w:rPr>
          <w:rFonts w:ascii="Times New Roman" w:eastAsia="Times New Roman" w:hAnsi="Times New Roman" w:cs="Times New Roman"/>
          <w:b/>
        </w:rPr>
        <w:lastRenderedPageBreak/>
        <w:t xml:space="preserve">Schedule of Topics: </w:t>
      </w:r>
    </w:p>
    <w:p w14:paraId="16CBCDC7" w14:textId="77777777" w:rsidR="007F3E5F" w:rsidRDefault="004C146D">
      <w:pPr>
        <w:spacing w:after="106" w:line="259" w:lineRule="auto"/>
        <w:ind w:left="-5"/>
      </w:pPr>
      <w:r>
        <w:rPr>
          <w:rFonts w:ascii="Times New Roman" w:eastAsia="Times New Roman" w:hAnsi="Times New Roman" w:cs="Times New Roman"/>
          <w:b/>
        </w:rPr>
        <w:t xml:space="preserve">Week One: </w:t>
      </w:r>
      <w:r>
        <w:rPr>
          <w:rFonts w:ascii="Times New Roman" w:eastAsia="Times New Roman" w:hAnsi="Times New Roman" w:cs="Times New Roman"/>
          <w:i/>
        </w:rPr>
        <w:t xml:space="preserve">Introduction and Overview of Spacecraft Design; Basic Orbital Dynamics  </w:t>
      </w:r>
    </w:p>
    <w:p w14:paraId="23A215C6" w14:textId="77777777" w:rsidR="007F3E5F" w:rsidRDefault="004C146D">
      <w:pPr>
        <w:spacing w:after="106" w:line="259" w:lineRule="auto"/>
        <w:ind w:left="-5"/>
      </w:pPr>
      <w:r>
        <w:rPr>
          <w:rFonts w:ascii="Times New Roman" w:eastAsia="Times New Roman" w:hAnsi="Times New Roman" w:cs="Times New Roman"/>
          <w:b/>
        </w:rPr>
        <w:t xml:space="preserve">Week Two: </w:t>
      </w:r>
      <w:r>
        <w:rPr>
          <w:rFonts w:ascii="Times New Roman" w:eastAsia="Times New Roman" w:hAnsi="Times New Roman" w:cs="Times New Roman"/>
          <w:i/>
        </w:rPr>
        <w:t xml:space="preserve">Mission Analysis; Space Environment </w:t>
      </w:r>
    </w:p>
    <w:p w14:paraId="1C2A158A" w14:textId="77777777" w:rsidR="007F3E5F" w:rsidRDefault="004C146D">
      <w:pPr>
        <w:spacing w:after="106" w:line="259" w:lineRule="auto"/>
        <w:ind w:left="-5"/>
      </w:pPr>
      <w:r>
        <w:rPr>
          <w:rFonts w:ascii="Times New Roman" w:eastAsia="Times New Roman" w:hAnsi="Times New Roman" w:cs="Times New Roman"/>
          <w:b/>
        </w:rPr>
        <w:t xml:space="preserve">Week Three: </w:t>
      </w:r>
      <w:r>
        <w:rPr>
          <w:rFonts w:ascii="Times New Roman" w:eastAsia="Times New Roman" w:hAnsi="Times New Roman" w:cs="Times New Roman"/>
          <w:i/>
        </w:rPr>
        <w:t>Space Propulsion; Launch Vehicles</w:t>
      </w:r>
      <w:r>
        <w:rPr>
          <w:rFonts w:ascii="Times New Roman" w:eastAsia="Times New Roman" w:hAnsi="Times New Roman" w:cs="Times New Roman"/>
        </w:rPr>
        <w:t xml:space="preserve"> </w:t>
      </w:r>
    </w:p>
    <w:p w14:paraId="158902FC" w14:textId="77777777" w:rsidR="007F3E5F" w:rsidRDefault="004C146D">
      <w:pPr>
        <w:spacing w:after="106" w:line="259" w:lineRule="auto"/>
        <w:ind w:left="-5"/>
      </w:pPr>
      <w:r>
        <w:rPr>
          <w:rFonts w:ascii="Times New Roman" w:eastAsia="Times New Roman" w:hAnsi="Times New Roman" w:cs="Times New Roman"/>
          <w:b/>
        </w:rPr>
        <w:t>Week Four:</w:t>
      </w:r>
      <w:r>
        <w:rPr>
          <w:rFonts w:ascii="Times New Roman" w:eastAsia="Times New Roman" w:hAnsi="Times New Roman" w:cs="Times New Roman"/>
        </w:rPr>
        <w:t xml:space="preserve">  </w:t>
      </w:r>
      <w:r>
        <w:rPr>
          <w:rFonts w:ascii="Times New Roman" w:eastAsia="Times New Roman" w:hAnsi="Times New Roman" w:cs="Times New Roman"/>
          <w:i/>
        </w:rPr>
        <w:t xml:space="preserve">Attitude Determination and Control; Structures and Mechanisms </w:t>
      </w:r>
    </w:p>
    <w:p w14:paraId="44444BB2" w14:textId="77777777" w:rsidR="007F3E5F" w:rsidRDefault="004C146D">
      <w:pPr>
        <w:spacing w:after="106" w:line="259" w:lineRule="auto"/>
        <w:ind w:left="-5"/>
      </w:pPr>
      <w:r>
        <w:rPr>
          <w:rFonts w:ascii="Times New Roman" w:eastAsia="Times New Roman" w:hAnsi="Times New Roman" w:cs="Times New Roman"/>
          <w:b/>
        </w:rPr>
        <w:t>Week Five:</w:t>
      </w:r>
      <w:r>
        <w:rPr>
          <w:rFonts w:ascii="Times New Roman" w:eastAsia="Times New Roman" w:hAnsi="Times New Roman" w:cs="Times New Roman"/>
          <w:i/>
        </w:rPr>
        <w:t xml:space="preserve"> Power Systems; Thermal Control </w:t>
      </w:r>
    </w:p>
    <w:p w14:paraId="0B18D6D1" w14:textId="77777777" w:rsidR="007F3E5F" w:rsidRDefault="004C146D">
      <w:pPr>
        <w:spacing w:after="106" w:line="259" w:lineRule="auto"/>
        <w:ind w:left="-5"/>
      </w:pPr>
      <w:r>
        <w:rPr>
          <w:rFonts w:ascii="Times New Roman" w:eastAsia="Times New Roman" w:hAnsi="Times New Roman" w:cs="Times New Roman"/>
          <w:b/>
        </w:rPr>
        <w:t>Week Six:</w:t>
      </w:r>
      <w:r>
        <w:rPr>
          <w:rFonts w:ascii="Times New Roman" w:eastAsia="Times New Roman" w:hAnsi="Times New Roman" w:cs="Times New Roman"/>
        </w:rPr>
        <w:t xml:space="preserve"> </w:t>
      </w:r>
      <w:r>
        <w:rPr>
          <w:rFonts w:ascii="Times New Roman" w:eastAsia="Times New Roman" w:hAnsi="Times New Roman" w:cs="Times New Roman"/>
          <w:i/>
        </w:rPr>
        <w:t xml:space="preserve">Communications </w:t>
      </w:r>
    </w:p>
    <w:p w14:paraId="52F5B9A9" w14:textId="77777777" w:rsidR="007F3E5F" w:rsidRDefault="004C146D">
      <w:pPr>
        <w:spacing w:after="106" w:line="259" w:lineRule="auto"/>
        <w:ind w:left="-5"/>
      </w:pPr>
      <w:r>
        <w:rPr>
          <w:rFonts w:ascii="Times New Roman" w:eastAsia="Times New Roman" w:hAnsi="Times New Roman" w:cs="Times New Roman"/>
          <w:b/>
        </w:rPr>
        <w:t xml:space="preserve">Week Seven: </w:t>
      </w:r>
      <w:r>
        <w:rPr>
          <w:rFonts w:ascii="Times New Roman" w:eastAsia="Times New Roman" w:hAnsi="Times New Roman" w:cs="Times New Roman"/>
          <w:i/>
        </w:rPr>
        <w:t xml:space="preserve">Small Satellite Design </w:t>
      </w:r>
    </w:p>
    <w:p w14:paraId="37E068E7" w14:textId="660F36A2" w:rsidR="007F3E5F" w:rsidRDefault="004C146D">
      <w:pPr>
        <w:spacing w:after="106" w:line="259" w:lineRule="auto"/>
        <w:ind w:left="-5"/>
      </w:pPr>
      <w:r>
        <w:rPr>
          <w:rFonts w:ascii="Times New Roman" w:eastAsia="Times New Roman" w:hAnsi="Times New Roman" w:cs="Times New Roman"/>
          <w:b/>
        </w:rPr>
        <w:t>Week Eight:</w:t>
      </w:r>
      <w:r>
        <w:rPr>
          <w:rFonts w:ascii="Times New Roman" w:eastAsia="Times New Roman" w:hAnsi="Times New Roman" w:cs="Times New Roman"/>
          <w:i/>
        </w:rPr>
        <w:t xml:space="preserve"> </w:t>
      </w:r>
      <w:r w:rsidR="006163CD" w:rsidRPr="006163CD">
        <w:rPr>
          <w:rFonts w:ascii="Times New Roman" w:eastAsia="Times New Roman" w:hAnsi="Times New Roman" w:cs="Times New Roman"/>
          <w:i/>
        </w:rPr>
        <w:t>Wrap-up</w:t>
      </w:r>
    </w:p>
    <w:p w14:paraId="37253DF6" w14:textId="77777777" w:rsidR="007F3E5F" w:rsidRDefault="004C146D">
      <w:pPr>
        <w:spacing w:after="0" w:line="259" w:lineRule="auto"/>
        <w:ind w:left="270" w:firstLine="0"/>
      </w:pPr>
      <w:r>
        <w:t xml:space="preserve"> </w:t>
      </w:r>
    </w:p>
    <w:p w14:paraId="2AC6CA41" w14:textId="77777777" w:rsidR="007F3E5F" w:rsidRDefault="004C146D">
      <w:pPr>
        <w:spacing w:after="106" w:line="259" w:lineRule="auto"/>
        <w:ind w:left="0" w:firstLine="0"/>
      </w:pPr>
      <w:r>
        <w:rPr>
          <w:b/>
        </w:rPr>
        <w:t>Supplementary References:</w:t>
      </w:r>
      <w:r>
        <w:t xml:space="preserve"> </w:t>
      </w:r>
    </w:p>
    <w:p w14:paraId="2749E8D2" w14:textId="77777777" w:rsidR="007F3E5F" w:rsidRDefault="004C146D">
      <w:pPr>
        <w:numPr>
          <w:ilvl w:val="0"/>
          <w:numId w:val="2"/>
        </w:numPr>
        <w:spacing w:after="120"/>
        <w:ind w:hanging="360"/>
      </w:pPr>
      <w:r>
        <w:t xml:space="preserve">P. Fortescue and J. Stark (editors), Spacecraft Systems Engineering, 2nd edition, 1997, Wiley. </w:t>
      </w:r>
    </w:p>
    <w:p w14:paraId="59758586" w14:textId="77777777" w:rsidR="007F3E5F" w:rsidRDefault="004C146D">
      <w:pPr>
        <w:numPr>
          <w:ilvl w:val="0"/>
          <w:numId w:val="2"/>
        </w:numPr>
        <w:spacing w:after="229"/>
        <w:ind w:hanging="360"/>
      </w:pPr>
      <w:r>
        <w:t xml:space="preserve">V. L. Pisacane and R. C. Moore (editors), Fundamentals of Space Systems,  Oxford University Press, 1994. </w:t>
      </w:r>
    </w:p>
    <w:p w14:paraId="5DF8339E" w14:textId="77777777" w:rsidR="00B44AE3" w:rsidRDefault="00B44AE3" w:rsidP="00B44AE3">
      <w:pPr>
        <w:pStyle w:val="BodyText"/>
        <w:spacing w:before="122"/>
        <w:ind w:left="429" w:hanging="270"/>
      </w:pPr>
      <w:r>
        <w:rPr>
          <w:b/>
        </w:rPr>
        <w:t>Attendance</w:t>
      </w:r>
      <w:r>
        <w:rPr>
          <w:b/>
          <w:spacing w:val="-4"/>
        </w:rPr>
        <w:t xml:space="preserve"> </w:t>
      </w:r>
      <w:r>
        <w:rPr>
          <w:b/>
        </w:rPr>
        <w:t>Policy:</w:t>
      </w:r>
      <w:r>
        <w:rPr>
          <w:b/>
          <w:spacing w:val="40"/>
        </w:rPr>
        <w:t xml:space="preserve"> </w:t>
      </w:r>
      <w:r>
        <w:t>Regular</w:t>
      </w:r>
      <w:r>
        <w:rPr>
          <w:spacing w:val="-4"/>
        </w:rPr>
        <w:t xml:space="preserve"> </w:t>
      </w:r>
      <w:r>
        <w:t>”attendance”</w:t>
      </w:r>
      <w:r>
        <w:rPr>
          <w:spacing w:val="-5"/>
        </w:rPr>
        <w:t xml:space="preserve"> </w:t>
      </w:r>
      <w:r>
        <w:t>and</w:t>
      </w:r>
      <w:r>
        <w:rPr>
          <w:spacing w:val="-5"/>
        </w:rPr>
        <w:t xml:space="preserve"> </w:t>
      </w:r>
      <w:r>
        <w:t>participation</w:t>
      </w:r>
      <w:r>
        <w:rPr>
          <w:spacing w:val="-5"/>
        </w:rPr>
        <w:t xml:space="preserve"> </w:t>
      </w:r>
      <w:r>
        <w:t>is</w:t>
      </w:r>
      <w:r>
        <w:rPr>
          <w:spacing w:val="-5"/>
        </w:rPr>
        <w:t xml:space="preserve"> </w:t>
      </w:r>
      <w:r>
        <w:t>required.</w:t>
      </w:r>
      <w:r>
        <w:rPr>
          <w:spacing w:val="-5"/>
        </w:rPr>
        <w:t xml:space="preserve"> </w:t>
      </w:r>
      <w:r>
        <w:t>UNM</w:t>
      </w:r>
      <w:r>
        <w:rPr>
          <w:spacing w:val="-4"/>
        </w:rPr>
        <w:t xml:space="preserve"> </w:t>
      </w:r>
      <w:r>
        <w:t>Pathfinder policies apply, which in part means instructor drops based on non-attendance are possible. This policy applies regardless of the grading option you have chosen.</w:t>
      </w:r>
    </w:p>
    <w:p w14:paraId="15E12A1D" w14:textId="77777777" w:rsidR="00B44AE3" w:rsidRDefault="00B44AE3" w:rsidP="00B44AE3">
      <w:pPr>
        <w:pStyle w:val="BodyText"/>
        <w:spacing w:before="239"/>
        <w:ind w:left="159"/>
      </w:pPr>
      <w:r>
        <w:rPr>
          <w:b/>
        </w:rPr>
        <w:t>Drop</w:t>
      </w:r>
      <w:r>
        <w:rPr>
          <w:b/>
          <w:spacing w:val="-1"/>
        </w:rPr>
        <w:t xml:space="preserve"> </w:t>
      </w:r>
      <w:r>
        <w:rPr>
          <w:b/>
        </w:rPr>
        <w:t>Policy:</w:t>
      </w:r>
      <w:r>
        <w:rPr>
          <w:b/>
          <w:spacing w:val="57"/>
        </w:rPr>
        <w:t xml:space="preserve"> </w:t>
      </w:r>
      <w:r>
        <w:t>This course</w:t>
      </w:r>
      <w:r>
        <w:rPr>
          <w:spacing w:val="-1"/>
        </w:rPr>
        <w:t xml:space="preserve"> </w:t>
      </w:r>
      <w:r>
        <w:t>falls</w:t>
      </w:r>
      <w:r>
        <w:rPr>
          <w:spacing w:val="-1"/>
        </w:rPr>
        <w:t xml:space="preserve"> </w:t>
      </w:r>
      <w:r>
        <w:t>under all</w:t>
      </w:r>
      <w:r>
        <w:rPr>
          <w:spacing w:val="-1"/>
        </w:rPr>
        <w:t xml:space="preserve"> </w:t>
      </w:r>
      <w:r>
        <w:t>UNM</w:t>
      </w:r>
      <w:r>
        <w:rPr>
          <w:spacing w:val="-1"/>
        </w:rPr>
        <w:t xml:space="preserve"> </w:t>
      </w:r>
      <w:r>
        <w:t>policies</w:t>
      </w:r>
      <w:r>
        <w:rPr>
          <w:spacing w:val="-1"/>
        </w:rPr>
        <w:t xml:space="preserve"> </w:t>
      </w:r>
      <w:r>
        <w:t>for</w:t>
      </w:r>
      <w:r>
        <w:rPr>
          <w:spacing w:val="-1"/>
        </w:rPr>
        <w:t xml:space="preserve"> </w:t>
      </w:r>
      <w:r>
        <w:t>last</w:t>
      </w:r>
      <w:r>
        <w:rPr>
          <w:spacing w:val="-1"/>
        </w:rPr>
        <w:t xml:space="preserve"> </w:t>
      </w:r>
      <w:r>
        <w:t>day to</w:t>
      </w:r>
      <w:r>
        <w:rPr>
          <w:spacing w:val="-2"/>
        </w:rPr>
        <w:t xml:space="preserve"> </w:t>
      </w:r>
      <w:r>
        <w:t>drop</w:t>
      </w:r>
      <w:r>
        <w:rPr>
          <w:spacing w:val="-1"/>
        </w:rPr>
        <w:t xml:space="preserve"> </w:t>
      </w:r>
      <w:r>
        <w:t xml:space="preserve">courses, </w:t>
      </w:r>
      <w:r>
        <w:rPr>
          <w:spacing w:val="-4"/>
        </w:rPr>
        <w:t>etc.</w:t>
      </w:r>
    </w:p>
    <w:p w14:paraId="7A195BB8" w14:textId="77777777" w:rsidR="00B44AE3" w:rsidRDefault="00B44AE3" w:rsidP="00B44AE3">
      <w:pPr>
        <w:pStyle w:val="BodyText"/>
        <w:spacing w:before="1" w:line="298" w:lineRule="exact"/>
        <w:ind w:left="429"/>
      </w:pPr>
      <w:r>
        <w:t>Please</w:t>
      </w:r>
      <w:r>
        <w:rPr>
          <w:spacing w:val="-6"/>
        </w:rPr>
        <w:t xml:space="preserve"> </w:t>
      </w:r>
      <w:r>
        <w:rPr>
          <w:spacing w:val="-5"/>
        </w:rPr>
        <w:t>see</w:t>
      </w:r>
    </w:p>
    <w:p w14:paraId="39E0A319" w14:textId="77777777" w:rsidR="00B44AE3" w:rsidRDefault="00B44AE3" w:rsidP="00B44AE3">
      <w:pPr>
        <w:pStyle w:val="BodyText"/>
        <w:spacing w:line="271" w:lineRule="exact"/>
        <w:ind w:left="429"/>
        <w:rPr>
          <w:rFonts w:ascii="Courier New"/>
        </w:rPr>
      </w:pPr>
      <w:r>
        <w:rPr>
          <w:rFonts w:ascii="Courier New"/>
          <w:color w:val="0000FF"/>
          <w:w w:val="95"/>
          <w:u w:val="single" w:color="0000FF"/>
        </w:rPr>
        <w:t>https://dos.unm.edu/resources/general-</w:t>
      </w:r>
      <w:r>
        <w:rPr>
          <w:rFonts w:ascii="Courier New"/>
          <w:color w:val="0000FF"/>
          <w:spacing w:val="-2"/>
          <w:u w:val="single" w:color="0000FF"/>
        </w:rPr>
        <w:t>faq.html</w:t>
      </w:r>
    </w:p>
    <w:p w14:paraId="79DDB64B" w14:textId="77777777" w:rsidR="00B44AE3" w:rsidRDefault="00B44AE3" w:rsidP="00B44AE3">
      <w:pPr>
        <w:pStyle w:val="BodyText"/>
        <w:spacing w:before="1"/>
        <w:ind w:left="430" w:right="224"/>
        <w:rPr>
          <w:rFonts w:ascii="Courier New"/>
        </w:rPr>
      </w:pPr>
      <w:r>
        <w:t>or</w:t>
      </w:r>
      <w:r>
        <w:rPr>
          <w:spacing w:val="-4"/>
        </w:rPr>
        <w:t xml:space="preserve"> </w:t>
      </w:r>
      <w:r>
        <w:t>the</w:t>
      </w:r>
      <w:r>
        <w:rPr>
          <w:spacing w:val="-4"/>
        </w:rPr>
        <w:t xml:space="preserve"> </w:t>
      </w:r>
      <w:r>
        <w:t>UNM</w:t>
      </w:r>
      <w:r>
        <w:rPr>
          <w:spacing w:val="-4"/>
        </w:rPr>
        <w:t xml:space="preserve"> </w:t>
      </w:r>
      <w:r>
        <w:t>Course</w:t>
      </w:r>
      <w:r>
        <w:rPr>
          <w:spacing w:val="-4"/>
        </w:rPr>
        <w:t xml:space="preserve"> </w:t>
      </w:r>
      <w:r>
        <w:t>Catalog</w:t>
      </w:r>
      <w:r>
        <w:rPr>
          <w:spacing w:val="-4"/>
        </w:rPr>
        <w:t xml:space="preserve"> </w:t>
      </w:r>
      <w:r>
        <w:t>for</w:t>
      </w:r>
      <w:r>
        <w:rPr>
          <w:spacing w:val="-4"/>
        </w:rPr>
        <w:t xml:space="preserve"> </w:t>
      </w:r>
      <w:r>
        <w:t>information</w:t>
      </w:r>
      <w:r>
        <w:rPr>
          <w:spacing w:val="-2"/>
        </w:rPr>
        <w:t xml:space="preserve"> </w:t>
      </w:r>
      <w:r>
        <w:t>on</w:t>
      </w:r>
      <w:r>
        <w:rPr>
          <w:spacing w:val="-3"/>
        </w:rPr>
        <w:t xml:space="preserve"> </w:t>
      </w:r>
      <w:r>
        <w:t>UNM</w:t>
      </w:r>
      <w:r>
        <w:rPr>
          <w:spacing w:val="-3"/>
        </w:rPr>
        <w:t xml:space="preserve"> </w:t>
      </w:r>
      <w:r>
        <w:t>services</w:t>
      </w:r>
      <w:r>
        <w:rPr>
          <w:spacing w:val="-3"/>
        </w:rPr>
        <w:t xml:space="preserve"> </w:t>
      </w:r>
      <w:r>
        <w:t>and</w:t>
      </w:r>
      <w:r>
        <w:rPr>
          <w:spacing w:val="-3"/>
        </w:rPr>
        <w:t xml:space="preserve"> </w:t>
      </w:r>
      <w:r>
        <w:t>policies.</w:t>
      </w:r>
      <w:r>
        <w:rPr>
          <w:spacing w:val="-3"/>
        </w:rPr>
        <w:t xml:space="preserve"> </w:t>
      </w:r>
      <w:r>
        <w:t>Please</w:t>
      </w:r>
      <w:r>
        <w:rPr>
          <w:spacing w:val="-3"/>
        </w:rPr>
        <w:t xml:space="preserve"> </w:t>
      </w:r>
      <w:r>
        <w:t xml:space="preserve">see the UNM Registrar webpage for Semester Deadline Dates: </w:t>
      </w:r>
      <w:hyperlink r:id="rId5" w:history="1">
        <w:r>
          <w:rPr>
            <w:rStyle w:val="Hyperlink"/>
            <w:rFonts w:ascii="Courier New"/>
            <w:color w:val="0000FF"/>
            <w:spacing w:val="-2"/>
          </w:rPr>
          <w:t>http://registrar.unm.edu/</w:t>
        </w:r>
      </w:hyperlink>
    </w:p>
    <w:p w14:paraId="49A74EA3" w14:textId="77777777" w:rsidR="00B44AE3" w:rsidRDefault="00B44AE3" w:rsidP="00B44AE3">
      <w:pPr>
        <w:pStyle w:val="BodyText"/>
        <w:spacing w:before="81"/>
        <w:ind w:left="430" w:right="125" w:hanging="270"/>
      </w:pPr>
      <w:r>
        <w:rPr>
          <w:b/>
        </w:rPr>
        <w:t>Academic Integrity:</w:t>
      </w:r>
      <w:r>
        <w:rPr>
          <w:b/>
          <w:spacing w:val="80"/>
        </w:rPr>
        <w:t xml:space="preserve"> </w:t>
      </w:r>
      <w:r>
        <w:t>The University of New Mexico believes that academic honesty is a foundation principle for personal and academic development. All University policies regarding academic honesty apply to this course. Academic dishonesty includes, but is not limited to, cheating or copying, plagiarism (claiming credit for the words or works of another from any type of source such as print, Internet or electronic database, or failing to cite the source), fabricating information or citations, facilitating acts of academic dishonesty by others, having unauthorized possession of examinations, submitting work of another person or work previously used without informing the instructor,</w:t>
      </w:r>
      <w:r>
        <w:rPr>
          <w:spacing w:val="-4"/>
        </w:rPr>
        <w:t xml:space="preserve"> </w:t>
      </w:r>
      <w:r>
        <w:t>or</w:t>
      </w:r>
      <w:r>
        <w:rPr>
          <w:spacing w:val="-3"/>
        </w:rPr>
        <w:t xml:space="preserve"> </w:t>
      </w:r>
      <w:r>
        <w:t>tampering</w:t>
      </w:r>
      <w:r>
        <w:rPr>
          <w:spacing w:val="-4"/>
        </w:rPr>
        <w:t xml:space="preserve"> </w:t>
      </w:r>
      <w:r>
        <w:t>with</w:t>
      </w:r>
      <w:r>
        <w:rPr>
          <w:spacing w:val="-4"/>
        </w:rPr>
        <w:t xml:space="preserve"> </w:t>
      </w:r>
      <w:r>
        <w:t>the</w:t>
      </w:r>
      <w:r>
        <w:rPr>
          <w:spacing w:val="-2"/>
        </w:rPr>
        <w:t xml:space="preserve"> </w:t>
      </w:r>
      <w:r>
        <w:t>academic</w:t>
      </w:r>
      <w:r>
        <w:rPr>
          <w:spacing w:val="-3"/>
        </w:rPr>
        <w:t xml:space="preserve"> </w:t>
      </w:r>
      <w:r>
        <w:t>work</w:t>
      </w:r>
      <w:r>
        <w:rPr>
          <w:spacing w:val="-3"/>
        </w:rPr>
        <w:t xml:space="preserve"> </w:t>
      </w:r>
      <w:r>
        <w:t>of</w:t>
      </w:r>
      <w:r>
        <w:rPr>
          <w:spacing w:val="-3"/>
        </w:rPr>
        <w:t xml:space="preserve"> </w:t>
      </w:r>
      <w:r>
        <w:t>other</w:t>
      </w:r>
      <w:r>
        <w:rPr>
          <w:spacing w:val="-3"/>
        </w:rPr>
        <w:t xml:space="preserve"> </w:t>
      </w:r>
      <w:r>
        <w:t>students.</w:t>
      </w:r>
      <w:r>
        <w:rPr>
          <w:spacing w:val="-3"/>
        </w:rPr>
        <w:t xml:space="preserve"> </w:t>
      </w:r>
      <w:r>
        <w:t>The</w:t>
      </w:r>
      <w:r>
        <w:rPr>
          <w:spacing w:val="-3"/>
        </w:rPr>
        <w:t xml:space="preserve"> </w:t>
      </w:r>
      <w:r>
        <w:t>University's</w:t>
      </w:r>
      <w:r>
        <w:rPr>
          <w:spacing w:val="-3"/>
        </w:rPr>
        <w:t xml:space="preserve"> </w:t>
      </w:r>
      <w:r>
        <w:t xml:space="preserve">full statement on academic honesty and the consequences for failure to comply is available in the college catalog and in the </w:t>
      </w:r>
      <w:r>
        <w:rPr>
          <w:i/>
        </w:rPr>
        <w:t>Pathfinder</w:t>
      </w:r>
      <w:r>
        <w:t>:</w:t>
      </w:r>
    </w:p>
    <w:p w14:paraId="32809291" w14:textId="77777777" w:rsidR="00B44AE3" w:rsidRDefault="00B44AE3" w:rsidP="00B44AE3">
      <w:pPr>
        <w:pStyle w:val="BodyText"/>
        <w:ind w:left="430" w:right="1981"/>
        <w:rPr>
          <w:rFonts w:ascii="Courier New"/>
        </w:rPr>
      </w:pPr>
      <w:hyperlink r:id="rId6" w:history="1">
        <w:r>
          <w:rPr>
            <w:rStyle w:val="Hyperlink"/>
            <w:rFonts w:ascii="Courier New"/>
            <w:color w:val="0000FF"/>
            <w:spacing w:val="-2"/>
          </w:rPr>
          <w:t>http://pathfinder.unm.edu/campus-policies/academic-</w:t>
        </w:r>
      </w:hyperlink>
      <w:r>
        <w:rPr>
          <w:rFonts w:ascii="Courier New"/>
          <w:color w:val="0000FF"/>
          <w:spacing w:val="-2"/>
        </w:rPr>
        <w:t xml:space="preserve"> </w:t>
      </w:r>
      <w:r>
        <w:rPr>
          <w:rFonts w:ascii="Courier New"/>
          <w:color w:val="0000FF"/>
          <w:spacing w:val="-2"/>
          <w:u w:val="single" w:color="0000FF"/>
        </w:rPr>
        <w:t>dishonesty.html</w:t>
      </w:r>
    </w:p>
    <w:p w14:paraId="1A31607D" w14:textId="77777777" w:rsidR="00B44AE3" w:rsidRDefault="00B44AE3" w:rsidP="00B44AE3">
      <w:pPr>
        <w:pStyle w:val="BodyText"/>
        <w:spacing w:before="241"/>
        <w:ind w:left="429" w:hanging="270"/>
        <w:rPr>
          <w:rFonts w:ascii="Courier New"/>
        </w:rPr>
      </w:pPr>
      <w:r>
        <w:rPr>
          <w:b/>
        </w:rPr>
        <w:t>Accommodation Statement:</w:t>
      </w:r>
      <w:r>
        <w:rPr>
          <w:b/>
          <w:spacing w:val="40"/>
        </w:rPr>
        <w:t xml:space="preserve"> </w:t>
      </w:r>
      <w:r>
        <w:t>Accessibility Services (Mesa Vista Hall 2021, 505-277-3506) provides academic support to students who have disabilities. If you think you need alternative</w:t>
      </w:r>
      <w:r>
        <w:rPr>
          <w:spacing w:val="-3"/>
        </w:rPr>
        <w:t xml:space="preserve"> </w:t>
      </w:r>
      <w:r>
        <w:t>accessible</w:t>
      </w:r>
      <w:r>
        <w:rPr>
          <w:spacing w:val="-5"/>
        </w:rPr>
        <w:t xml:space="preserve"> </w:t>
      </w:r>
      <w:r>
        <w:t>formats</w:t>
      </w:r>
      <w:r>
        <w:rPr>
          <w:spacing w:val="-5"/>
        </w:rPr>
        <w:t xml:space="preserve"> </w:t>
      </w:r>
      <w:r>
        <w:t>for</w:t>
      </w:r>
      <w:r>
        <w:rPr>
          <w:spacing w:val="-5"/>
        </w:rPr>
        <w:t xml:space="preserve"> </w:t>
      </w:r>
      <w:r>
        <w:t>undertaking</w:t>
      </w:r>
      <w:r>
        <w:rPr>
          <w:spacing w:val="-5"/>
        </w:rPr>
        <w:t xml:space="preserve"> </w:t>
      </w:r>
      <w:r>
        <w:t>and</w:t>
      </w:r>
      <w:r>
        <w:rPr>
          <w:spacing w:val="-5"/>
        </w:rPr>
        <w:t xml:space="preserve"> </w:t>
      </w:r>
      <w:r>
        <w:t>completing</w:t>
      </w:r>
      <w:r>
        <w:rPr>
          <w:spacing w:val="-4"/>
        </w:rPr>
        <w:t xml:space="preserve"> </w:t>
      </w:r>
      <w:r>
        <w:t>coursework,</w:t>
      </w:r>
      <w:r>
        <w:rPr>
          <w:spacing w:val="-4"/>
        </w:rPr>
        <w:t xml:space="preserve"> </w:t>
      </w:r>
      <w:r>
        <w:t>you</w:t>
      </w:r>
      <w:r>
        <w:rPr>
          <w:spacing w:val="-5"/>
        </w:rPr>
        <w:t xml:space="preserve"> </w:t>
      </w:r>
      <w:r>
        <w:t xml:space="preserve">should contact this service right away to assure your needs are met in a timely manner. </w:t>
      </w:r>
      <w:r>
        <w:rPr>
          <w:rFonts w:ascii="Courier New"/>
          <w:color w:val="0000FF"/>
          <w:spacing w:val="-2"/>
          <w:u w:val="single" w:color="0000FF"/>
        </w:rPr>
        <w:t>https://arc.unm.edu/</w:t>
      </w:r>
    </w:p>
    <w:p w14:paraId="734F6177" w14:textId="77777777" w:rsidR="00B44AE3" w:rsidRDefault="00B44AE3" w:rsidP="00B44AE3">
      <w:pPr>
        <w:pStyle w:val="BodyText"/>
        <w:ind w:left="430" w:right="125"/>
      </w:pPr>
      <w:r>
        <w:t xml:space="preserve">If you need local assistance in contacting Accessibility Services, please contact the </w:t>
      </w:r>
      <w:r>
        <w:lastRenderedPageBreak/>
        <w:t>Mechanical</w:t>
      </w:r>
      <w:r>
        <w:rPr>
          <w:spacing w:val="-4"/>
        </w:rPr>
        <w:t xml:space="preserve"> </w:t>
      </w:r>
      <w:r>
        <w:t>Engineering</w:t>
      </w:r>
      <w:r>
        <w:rPr>
          <w:spacing w:val="-4"/>
        </w:rPr>
        <w:t xml:space="preserve"> </w:t>
      </w:r>
      <w:r>
        <w:t>Department</w:t>
      </w:r>
      <w:r>
        <w:rPr>
          <w:spacing w:val="-4"/>
        </w:rPr>
        <w:t xml:space="preserve"> </w:t>
      </w:r>
      <w:r>
        <w:t>using</w:t>
      </w:r>
      <w:r>
        <w:rPr>
          <w:spacing w:val="-4"/>
        </w:rPr>
        <w:t xml:space="preserve"> </w:t>
      </w:r>
      <w:r>
        <w:t>the</w:t>
      </w:r>
      <w:r>
        <w:rPr>
          <w:spacing w:val="-5"/>
        </w:rPr>
        <w:t xml:space="preserve"> </w:t>
      </w:r>
      <w:r>
        <w:t>contact</w:t>
      </w:r>
      <w:r>
        <w:rPr>
          <w:spacing w:val="-4"/>
        </w:rPr>
        <w:t xml:space="preserve"> </w:t>
      </w:r>
      <w:r>
        <w:t>information</w:t>
      </w:r>
      <w:r>
        <w:rPr>
          <w:spacing w:val="-5"/>
        </w:rPr>
        <w:t xml:space="preserve"> </w:t>
      </w:r>
      <w:r>
        <w:t>located</w:t>
      </w:r>
      <w:r>
        <w:rPr>
          <w:spacing w:val="-5"/>
        </w:rPr>
        <w:t xml:space="preserve"> </w:t>
      </w:r>
      <w:r>
        <w:t>near</w:t>
      </w:r>
      <w:r>
        <w:rPr>
          <w:spacing w:val="-5"/>
        </w:rPr>
        <w:t xml:space="preserve"> </w:t>
      </w:r>
      <w:r>
        <w:t>the</w:t>
      </w:r>
      <w:r>
        <w:rPr>
          <w:spacing w:val="-5"/>
        </w:rPr>
        <w:t xml:space="preserve"> </w:t>
      </w:r>
      <w:r>
        <w:t>top of this Syllabus.</w:t>
      </w:r>
    </w:p>
    <w:p w14:paraId="475B0C10" w14:textId="77777777" w:rsidR="00B44AE3" w:rsidRDefault="00B44AE3" w:rsidP="00B44AE3">
      <w:pPr>
        <w:pStyle w:val="BodyText"/>
        <w:spacing w:before="240"/>
        <w:ind w:left="430" w:hanging="270"/>
      </w:pPr>
      <w:r>
        <w:rPr>
          <w:b/>
        </w:rPr>
        <w:t>Title</w:t>
      </w:r>
      <w:r>
        <w:rPr>
          <w:b/>
          <w:spacing w:val="-2"/>
        </w:rPr>
        <w:t xml:space="preserve"> </w:t>
      </w:r>
      <w:r>
        <w:rPr>
          <w:b/>
        </w:rPr>
        <w:t>IX</w:t>
      </w:r>
      <w:r>
        <w:rPr>
          <w:b/>
          <w:spacing w:val="-3"/>
        </w:rPr>
        <w:t xml:space="preserve"> </w:t>
      </w:r>
      <w:r>
        <w:rPr>
          <w:b/>
        </w:rPr>
        <w:t>Statement:</w:t>
      </w:r>
      <w:r>
        <w:rPr>
          <w:b/>
          <w:spacing w:val="40"/>
        </w:rPr>
        <w:t xml:space="preserve"> </w:t>
      </w:r>
      <w:proofErr w:type="gramStart"/>
      <w:r>
        <w:t>In</w:t>
      </w:r>
      <w:r>
        <w:rPr>
          <w:spacing w:val="-2"/>
        </w:rPr>
        <w:t xml:space="preserve"> </w:t>
      </w:r>
      <w:r>
        <w:t>an</w:t>
      </w:r>
      <w:r>
        <w:rPr>
          <w:spacing w:val="-3"/>
        </w:rPr>
        <w:t xml:space="preserve"> </w:t>
      </w:r>
      <w:r>
        <w:t>effort</w:t>
      </w:r>
      <w:r>
        <w:rPr>
          <w:spacing w:val="-3"/>
        </w:rPr>
        <w:t xml:space="preserve"> </w:t>
      </w:r>
      <w:r>
        <w:t>to</w:t>
      </w:r>
      <w:proofErr w:type="gramEnd"/>
      <w:r>
        <w:rPr>
          <w:spacing w:val="-3"/>
        </w:rPr>
        <w:t xml:space="preserve"> </w:t>
      </w:r>
      <w:r>
        <w:t>meet</w:t>
      </w:r>
      <w:r>
        <w:rPr>
          <w:spacing w:val="-2"/>
        </w:rPr>
        <w:t xml:space="preserve"> </w:t>
      </w:r>
      <w:r>
        <w:t>obligations</w:t>
      </w:r>
      <w:r>
        <w:rPr>
          <w:spacing w:val="-2"/>
        </w:rPr>
        <w:t xml:space="preserve"> </w:t>
      </w:r>
      <w:r>
        <w:t>under</w:t>
      </w:r>
      <w:r>
        <w:rPr>
          <w:spacing w:val="-3"/>
        </w:rPr>
        <w:t xml:space="preserve"> </w:t>
      </w:r>
      <w:r>
        <w:t>Title</w:t>
      </w:r>
      <w:r>
        <w:rPr>
          <w:spacing w:val="-2"/>
        </w:rPr>
        <w:t xml:space="preserve"> </w:t>
      </w:r>
      <w:r>
        <w:t>IX,</w:t>
      </w:r>
      <w:r>
        <w:rPr>
          <w:spacing w:val="-2"/>
        </w:rPr>
        <w:t xml:space="preserve"> </w:t>
      </w:r>
      <w:r>
        <w:t>UNM</w:t>
      </w:r>
      <w:r>
        <w:rPr>
          <w:spacing w:val="-2"/>
        </w:rPr>
        <w:t xml:space="preserve"> </w:t>
      </w:r>
      <w:r>
        <w:t>faculty,</w:t>
      </w:r>
      <w:r>
        <w:rPr>
          <w:spacing w:val="-3"/>
        </w:rPr>
        <w:t xml:space="preserve"> </w:t>
      </w:r>
      <w:r>
        <w:t>Teaching Assistants, and Graduate Assistants are considered “responsible employees” by the</w:t>
      </w:r>
    </w:p>
    <w:p w14:paraId="0AEAA924" w14:textId="77777777" w:rsidR="00B44AE3" w:rsidRDefault="00B44AE3" w:rsidP="00B44AE3">
      <w:pPr>
        <w:sectPr w:rsidR="00B44AE3">
          <w:pgSz w:w="12240" w:h="15840"/>
          <w:pgMar w:top="640" w:right="1060" w:bottom="280" w:left="1280" w:header="720" w:footer="720" w:gutter="0"/>
          <w:cols w:space="720"/>
        </w:sectPr>
      </w:pPr>
    </w:p>
    <w:p w14:paraId="6767900F" w14:textId="77777777" w:rsidR="00B44AE3" w:rsidRDefault="00B44AE3" w:rsidP="00B44AE3">
      <w:pPr>
        <w:spacing w:before="81"/>
        <w:ind w:left="430" w:right="136"/>
        <w:rPr>
          <w:rFonts w:ascii="Courier New"/>
        </w:rPr>
      </w:pPr>
      <w:r>
        <w:lastRenderedPageBreak/>
        <w:t>Department of Education.</w:t>
      </w:r>
      <w:r>
        <w:rPr>
          <w:spacing w:val="-2"/>
        </w:rPr>
        <w:t xml:space="preserve"> </w:t>
      </w:r>
      <w:r>
        <w:t>This designation requires that any report of gender discrimination that includes sexual harassment, sexual misconduct and sexual violence made to a faculty member, TA, or GA must be reported to the Title IX Coordinator at the Office of Equal Opportunity (oeo.unm.edu). For more information on the campus policy regarding sexual misconduct,</w:t>
      </w:r>
      <w:r>
        <w:rPr>
          <w:spacing w:val="-15"/>
        </w:rPr>
        <w:t xml:space="preserve"> </w:t>
      </w:r>
      <w:r>
        <w:t>see:</w:t>
      </w:r>
      <w:r>
        <w:rPr>
          <w:spacing w:val="-15"/>
        </w:rPr>
        <w:t xml:space="preserve"> </w:t>
      </w:r>
      <w:r>
        <w:rPr>
          <w:rFonts w:ascii="Courier New"/>
          <w:color w:val="0000FF"/>
          <w:u w:val="single" w:color="0000FF"/>
        </w:rPr>
        <w:t>https://policy.unm.edu/university-policies/2000/2740.html</w:t>
      </w:r>
    </w:p>
    <w:p w14:paraId="0B0E8251" w14:textId="77777777" w:rsidR="00B44AE3" w:rsidRDefault="00B44AE3" w:rsidP="00B44AE3">
      <w:pPr>
        <w:pStyle w:val="Heading1"/>
        <w:spacing w:before="119"/>
      </w:pPr>
      <w:r>
        <w:t xml:space="preserve">UNM </w:t>
      </w:r>
      <w:r>
        <w:rPr>
          <w:spacing w:val="-2"/>
        </w:rPr>
        <w:t>Resources:</w:t>
      </w:r>
    </w:p>
    <w:p w14:paraId="46AA225C" w14:textId="77777777" w:rsidR="00B44AE3" w:rsidRDefault="00B44AE3" w:rsidP="00B44AE3">
      <w:pPr>
        <w:spacing w:before="240"/>
        <w:ind w:left="430" w:right="418" w:hanging="210"/>
      </w:pPr>
      <w:r>
        <w:rPr>
          <w:b/>
        </w:rPr>
        <w:t xml:space="preserve">CAPS Tutoring Services </w:t>
      </w:r>
      <w:hyperlink r:id="rId7" w:history="1">
        <w:r>
          <w:rPr>
            <w:rStyle w:val="Hyperlink"/>
            <w:rFonts w:ascii="Courier New"/>
          </w:rPr>
          <w:t>http://caps.unm.edu/programs/online-tutoring/</w:t>
        </w:r>
      </w:hyperlink>
      <w:r>
        <w:rPr>
          <w:rFonts w:ascii="Courier New"/>
          <w:color w:val="0000FF"/>
        </w:rPr>
        <w:t xml:space="preserve"> </w:t>
      </w:r>
      <w:r>
        <w:t>CAPS</w:t>
      </w:r>
      <w:r>
        <w:rPr>
          <w:spacing w:val="-3"/>
        </w:rPr>
        <w:t xml:space="preserve"> </w:t>
      </w:r>
      <w:r>
        <w:t>is</w:t>
      </w:r>
      <w:r>
        <w:rPr>
          <w:spacing w:val="-3"/>
        </w:rPr>
        <w:t xml:space="preserve"> </w:t>
      </w:r>
      <w:r>
        <w:t>a</w:t>
      </w:r>
      <w:r>
        <w:rPr>
          <w:spacing w:val="-3"/>
        </w:rPr>
        <w:t xml:space="preserve"> </w:t>
      </w:r>
      <w:r>
        <w:t>free-of-charge</w:t>
      </w:r>
      <w:r>
        <w:rPr>
          <w:spacing w:val="-3"/>
        </w:rPr>
        <w:t xml:space="preserve"> </w:t>
      </w:r>
      <w:r>
        <w:t>educational</w:t>
      </w:r>
      <w:r>
        <w:rPr>
          <w:spacing w:val="-3"/>
        </w:rPr>
        <w:t xml:space="preserve"> </w:t>
      </w:r>
      <w:r>
        <w:t>assistance</w:t>
      </w:r>
      <w:r>
        <w:rPr>
          <w:spacing w:val="-3"/>
        </w:rPr>
        <w:t xml:space="preserve"> </w:t>
      </w:r>
      <w:r>
        <w:t>program</w:t>
      </w:r>
      <w:r>
        <w:rPr>
          <w:spacing w:val="-4"/>
        </w:rPr>
        <w:t xml:space="preserve"> </w:t>
      </w:r>
      <w:r>
        <w:t>available</w:t>
      </w:r>
      <w:r>
        <w:rPr>
          <w:spacing w:val="-3"/>
        </w:rPr>
        <w:t xml:space="preserve"> </w:t>
      </w:r>
      <w:r>
        <w:t>to</w:t>
      </w:r>
      <w:r>
        <w:rPr>
          <w:spacing w:val="-4"/>
        </w:rPr>
        <w:t xml:space="preserve"> </w:t>
      </w:r>
      <w:r>
        <w:t>UNM</w:t>
      </w:r>
      <w:r>
        <w:rPr>
          <w:spacing w:val="-3"/>
        </w:rPr>
        <w:t xml:space="preserve"> </w:t>
      </w:r>
      <w:r>
        <w:t>students enrolled</w:t>
      </w:r>
      <w:r>
        <w:rPr>
          <w:spacing w:val="-3"/>
        </w:rPr>
        <w:t xml:space="preserve"> </w:t>
      </w:r>
      <w:r>
        <w:t>in</w:t>
      </w:r>
      <w:r>
        <w:rPr>
          <w:spacing w:val="-3"/>
        </w:rPr>
        <w:t xml:space="preserve"> </w:t>
      </w:r>
      <w:r>
        <w:t>classes.</w:t>
      </w:r>
      <w:r>
        <w:rPr>
          <w:spacing w:val="-3"/>
        </w:rPr>
        <w:t xml:space="preserve"> </w:t>
      </w:r>
      <w:r>
        <w:t>Online</w:t>
      </w:r>
      <w:r>
        <w:rPr>
          <w:spacing w:val="-3"/>
        </w:rPr>
        <w:t xml:space="preserve"> </w:t>
      </w:r>
      <w:r>
        <w:t>services</w:t>
      </w:r>
      <w:r>
        <w:rPr>
          <w:spacing w:val="-3"/>
        </w:rPr>
        <w:t xml:space="preserve"> </w:t>
      </w:r>
      <w:r>
        <w:t>include</w:t>
      </w:r>
      <w:r>
        <w:rPr>
          <w:spacing w:val="-4"/>
        </w:rPr>
        <w:t xml:space="preserve"> </w:t>
      </w:r>
      <w:r>
        <w:t>the</w:t>
      </w:r>
      <w:r>
        <w:rPr>
          <w:spacing w:val="-4"/>
        </w:rPr>
        <w:t xml:space="preserve"> </w:t>
      </w:r>
      <w:r>
        <w:t>Online</w:t>
      </w:r>
      <w:r>
        <w:rPr>
          <w:spacing w:val="-4"/>
        </w:rPr>
        <w:t xml:space="preserve"> </w:t>
      </w:r>
      <w:r>
        <w:t>Writing</w:t>
      </w:r>
      <w:r>
        <w:rPr>
          <w:spacing w:val="-4"/>
        </w:rPr>
        <w:t xml:space="preserve"> </w:t>
      </w:r>
      <w:r>
        <w:t>Lab,</w:t>
      </w:r>
      <w:r>
        <w:rPr>
          <w:spacing w:val="-3"/>
        </w:rPr>
        <w:t xml:space="preserve"> </w:t>
      </w:r>
      <w:r>
        <w:t>Chatting</w:t>
      </w:r>
      <w:r>
        <w:rPr>
          <w:spacing w:val="-4"/>
        </w:rPr>
        <w:t xml:space="preserve"> </w:t>
      </w:r>
      <w:r>
        <w:t>with</w:t>
      </w:r>
      <w:r>
        <w:rPr>
          <w:spacing w:val="-4"/>
        </w:rPr>
        <w:t xml:space="preserve"> </w:t>
      </w:r>
      <w:r>
        <w:t>or asking a question of a Tutor.</w:t>
      </w:r>
    </w:p>
    <w:p w14:paraId="07F50176" w14:textId="77777777" w:rsidR="00B44AE3" w:rsidRDefault="00B44AE3" w:rsidP="00B44AE3">
      <w:pPr>
        <w:spacing w:before="240"/>
        <w:ind w:left="160"/>
        <w:rPr>
          <w:rFonts w:ascii="Courier New"/>
          <w:sz w:val="22"/>
        </w:rPr>
      </w:pPr>
      <w:r>
        <w:rPr>
          <w:b/>
        </w:rPr>
        <w:t>UNM Libraries</w:t>
      </w:r>
      <w:r>
        <w:rPr>
          <w:b/>
          <w:spacing w:val="-1"/>
        </w:rPr>
        <w:t xml:space="preserve"> </w:t>
      </w:r>
      <w:hyperlink r:id="rId8" w:history="1">
        <w:r>
          <w:rPr>
            <w:rStyle w:val="Hyperlink"/>
            <w:rFonts w:ascii="Courier New"/>
            <w:color w:val="0000FF"/>
            <w:spacing w:val="-2"/>
          </w:rPr>
          <w:t>http://library.unm.edu</w:t>
        </w:r>
      </w:hyperlink>
    </w:p>
    <w:p w14:paraId="5D45BDC5" w14:textId="77777777" w:rsidR="00B44AE3" w:rsidRDefault="00B44AE3" w:rsidP="00B44AE3">
      <w:pPr>
        <w:pStyle w:val="Heading1"/>
        <w:spacing w:before="240"/>
      </w:pPr>
      <w:r>
        <w:t>Student</w:t>
      </w:r>
      <w:r>
        <w:rPr>
          <w:spacing w:val="-1"/>
        </w:rPr>
        <w:t xml:space="preserve"> </w:t>
      </w:r>
      <w:r>
        <w:t>Health and Counseling</w:t>
      </w:r>
      <w:r>
        <w:rPr>
          <w:spacing w:val="-1"/>
        </w:rPr>
        <w:t xml:space="preserve"> </w:t>
      </w:r>
      <w:r>
        <w:t xml:space="preserve">(SHAC) Online </w:t>
      </w:r>
      <w:r>
        <w:rPr>
          <w:spacing w:val="-2"/>
        </w:rPr>
        <w:t>Services</w:t>
      </w:r>
    </w:p>
    <w:p w14:paraId="578E075B" w14:textId="77777777" w:rsidR="00B44AE3" w:rsidRDefault="00B44AE3" w:rsidP="00B44AE3">
      <w:pPr>
        <w:ind w:left="430"/>
        <w:rPr>
          <w:rFonts w:ascii="Courier New"/>
        </w:rPr>
      </w:pPr>
      <w:hyperlink r:id="rId9" w:history="1">
        <w:r>
          <w:rPr>
            <w:rStyle w:val="Hyperlink"/>
            <w:rFonts w:ascii="Courier New"/>
            <w:color w:val="0000FF"/>
            <w:spacing w:val="-2"/>
          </w:rPr>
          <w:t>http://online.unm.edu/help/learn/support/shac</w:t>
        </w:r>
      </w:hyperlink>
    </w:p>
    <w:p w14:paraId="34F7266E" w14:textId="36726778" w:rsidR="007F3E5F" w:rsidRDefault="007F3E5F" w:rsidP="00B44AE3">
      <w:pPr>
        <w:ind w:left="-5"/>
      </w:pPr>
    </w:p>
    <w:sectPr w:rsidR="007F3E5F">
      <w:pgSz w:w="12240" w:h="15840"/>
      <w:pgMar w:top="768" w:right="1167" w:bottom="78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D90DF2"/>
    <w:multiLevelType w:val="hybridMultilevel"/>
    <w:tmpl w:val="73867E90"/>
    <w:lvl w:ilvl="0" w:tplc="F84C2FB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D082F0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6B8860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B1C35E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43483B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BB8D09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070D7B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12DCE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95EAAF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FE5280F"/>
    <w:multiLevelType w:val="hybridMultilevel"/>
    <w:tmpl w:val="0AB879B8"/>
    <w:lvl w:ilvl="0" w:tplc="00F066B8">
      <w:start w:val="3"/>
      <w:numFmt w:val="decimal"/>
      <w:lvlText w:val="%1."/>
      <w:lvlJc w:val="left"/>
      <w:pPr>
        <w:ind w:left="3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1" w:tplc="266E95CA">
      <w:start w:val="1"/>
      <w:numFmt w:val="lowerLetter"/>
      <w:lvlText w:val="%2"/>
      <w:lvlJc w:val="left"/>
      <w:pPr>
        <w:ind w:left="10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2" w:tplc="D75EE294">
      <w:start w:val="1"/>
      <w:numFmt w:val="lowerRoman"/>
      <w:lvlText w:val="%3"/>
      <w:lvlJc w:val="left"/>
      <w:pPr>
        <w:ind w:left="18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3" w:tplc="0038AD2A">
      <w:start w:val="1"/>
      <w:numFmt w:val="decimal"/>
      <w:lvlText w:val="%4"/>
      <w:lvlJc w:val="left"/>
      <w:pPr>
        <w:ind w:left="252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4" w:tplc="A404AE0C">
      <w:start w:val="1"/>
      <w:numFmt w:val="lowerLetter"/>
      <w:lvlText w:val="%5"/>
      <w:lvlJc w:val="left"/>
      <w:pPr>
        <w:ind w:left="324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5" w:tplc="A6800104">
      <w:start w:val="1"/>
      <w:numFmt w:val="lowerRoman"/>
      <w:lvlText w:val="%6"/>
      <w:lvlJc w:val="left"/>
      <w:pPr>
        <w:ind w:left="396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6" w:tplc="32AEA5F2">
      <w:start w:val="1"/>
      <w:numFmt w:val="decimal"/>
      <w:lvlText w:val="%7"/>
      <w:lvlJc w:val="left"/>
      <w:pPr>
        <w:ind w:left="46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7" w:tplc="B178FD0E">
      <w:start w:val="1"/>
      <w:numFmt w:val="lowerLetter"/>
      <w:lvlText w:val="%8"/>
      <w:lvlJc w:val="left"/>
      <w:pPr>
        <w:ind w:left="54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8" w:tplc="A6080526">
      <w:start w:val="1"/>
      <w:numFmt w:val="lowerRoman"/>
      <w:lvlText w:val="%9"/>
      <w:lvlJc w:val="left"/>
      <w:pPr>
        <w:ind w:left="612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abstractNum>
  <w:num w:numId="1" w16cid:durableId="1428964147">
    <w:abstractNumId w:val="1"/>
  </w:num>
  <w:num w:numId="2" w16cid:durableId="1576625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E5F"/>
    <w:rsid w:val="000161DB"/>
    <w:rsid w:val="001A1CCB"/>
    <w:rsid w:val="003500D2"/>
    <w:rsid w:val="004C146D"/>
    <w:rsid w:val="00555F26"/>
    <w:rsid w:val="005D02EB"/>
    <w:rsid w:val="006163CD"/>
    <w:rsid w:val="006438BF"/>
    <w:rsid w:val="007E2DE6"/>
    <w:rsid w:val="007F3E5F"/>
    <w:rsid w:val="0087503B"/>
    <w:rsid w:val="00897475"/>
    <w:rsid w:val="00971DFE"/>
    <w:rsid w:val="009B12E9"/>
    <w:rsid w:val="00A147D1"/>
    <w:rsid w:val="00B44AE3"/>
    <w:rsid w:val="00CE069B"/>
    <w:rsid w:val="00DE7D2A"/>
    <w:rsid w:val="00E13859"/>
    <w:rsid w:val="00E15E97"/>
    <w:rsid w:val="00F402D3"/>
    <w:rsid w:val="00F50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8AEFC"/>
  <w15:docId w15:val="{60131C1B-8FF2-4745-9787-8CB9A1AC5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10" w:hanging="10"/>
    </w:pPr>
    <w:rPr>
      <w:rFonts w:ascii="Book Antiqua" w:eastAsia="Book Antiqua" w:hAnsi="Book Antiqua" w:cs="Book Antiqua"/>
      <w:color w:val="000000"/>
      <w:sz w:val="24"/>
    </w:rPr>
  </w:style>
  <w:style w:type="paragraph" w:styleId="Heading1">
    <w:name w:val="heading 1"/>
    <w:basedOn w:val="Normal"/>
    <w:link w:val="Heading1Char"/>
    <w:uiPriority w:val="1"/>
    <w:qFormat/>
    <w:rsid w:val="00B44AE3"/>
    <w:pPr>
      <w:widowControl w:val="0"/>
      <w:autoSpaceDE w:val="0"/>
      <w:autoSpaceDN w:val="0"/>
      <w:spacing w:before="120" w:after="0" w:line="240" w:lineRule="auto"/>
      <w:ind w:left="160" w:firstLine="0"/>
      <w:outlineLvl w:val="0"/>
    </w:pPr>
    <w:rPr>
      <w:b/>
      <w:bCs/>
      <w:color w:val="auto"/>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F402D3"/>
    <w:rPr>
      <w:color w:val="0563C1" w:themeColor="hyperlink"/>
      <w:u w:val="single"/>
    </w:rPr>
  </w:style>
  <w:style w:type="character" w:styleId="UnresolvedMention">
    <w:name w:val="Unresolved Mention"/>
    <w:basedOn w:val="DefaultParagraphFont"/>
    <w:uiPriority w:val="99"/>
    <w:semiHidden/>
    <w:unhideWhenUsed/>
    <w:rsid w:val="00F402D3"/>
    <w:rPr>
      <w:color w:val="605E5C"/>
      <w:shd w:val="clear" w:color="auto" w:fill="E1DFDD"/>
    </w:rPr>
  </w:style>
  <w:style w:type="paragraph" w:customStyle="1" w:styleId="TableParagraph">
    <w:name w:val="Table Paragraph"/>
    <w:basedOn w:val="Normal"/>
    <w:uiPriority w:val="1"/>
    <w:qFormat/>
    <w:rsid w:val="003500D2"/>
    <w:pPr>
      <w:widowControl w:val="0"/>
      <w:autoSpaceDE w:val="0"/>
      <w:autoSpaceDN w:val="0"/>
      <w:spacing w:after="0" w:line="278" w:lineRule="exact"/>
      <w:ind w:left="50" w:firstLine="0"/>
    </w:pPr>
    <w:rPr>
      <w:color w:val="auto"/>
      <w:sz w:val="22"/>
    </w:rPr>
  </w:style>
  <w:style w:type="character" w:customStyle="1" w:styleId="Heading1Char">
    <w:name w:val="Heading 1 Char"/>
    <w:basedOn w:val="DefaultParagraphFont"/>
    <w:link w:val="Heading1"/>
    <w:uiPriority w:val="1"/>
    <w:rsid w:val="00B44AE3"/>
    <w:rPr>
      <w:rFonts w:ascii="Book Antiqua" w:eastAsia="Book Antiqua" w:hAnsi="Book Antiqua" w:cs="Book Antiqua"/>
      <w:b/>
      <w:bCs/>
      <w:sz w:val="24"/>
      <w:szCs w:val="24"/>
    </w:rPr>
  </w:style>
  <w:style w:type="paragraph" w:styleId="BodyText">
    <w:name w:val="Body Text"/>
    <w:basedOn w:val="Normal"/>
    <w:link w:val="BodyTextChar"/>
    <w:uiPriority w:val="1"/>
    <w:semiHidden/>
    <w:unhideWhenUsed/>
    <w:qFormat/>
    <w:rsid w:val="00B44AE3"/>
    <w:pPr>
      <w:widowControl w:val="0"/>
      <w:autoSpaceDE w:val="0"/>
      <w:autoSpaceDN w:val="0"/>
      <w:spacing w:after="0" w:line="240" w:lineRule="auto"/>
      <w:ind w:left="0" w:firstLine="0"/>
    </w:pPr>
    <w:rPr>
      <w:color w:val="auto"/>
      <w:szCs w:val="24"/>
    </w:rPr>
  </w:style>
  <w:style w:type="character" w:customStyle="1" w:styleId="BodyTextChar">
    <w:name w:val="Body Text Char"/>
    <w:basedOn w:val="DefaultParagraphFont"/>
    <w:link w:val="BodyText"/>
    <w:uiPriority w:val="1"/>
    <w:semiHidden/>
    <w:rsid w:val="00B44AE3"/>
    <w:rPr>
      <w:rFonts w:ascii="Book Antiqua" w:eastAsia="Book Antiqua" w:hAnsi="Book Antiqua" w:cs="Book Antiqua"/>
      <w:sz w:val="24"/>
      <w:szCs w:val="24"/>
    </w:rPr>
  </w:style>
  <w:style w:type="paragraph" w:styleId="ListParagraph">
    <w:name w:val="List Paragraph"/>
    <w:basedOn w:val="Normal"/>
    <w:uiPriority w:val="34"/>
    <w:qFormat/>
    <w:rsid w:val="006163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0003250">
      <w:bodyDiv w:val="1"/>
      <w:marLeft w:val="0"/>
      <w:marRight w:val="0"/>
      <w:marTop w:val="0"/>
      <w:marBottom w:val="0"/>
      <w:divBdr>
        <w:top w:val="none" w:sz="0" w:space="0" w:color="auto"/>
        <w:left w:val="none" w:sz="0" w:space="0" w:color="auto"/>
        <w:bottom w:val="none" w:sz="0" w:space="0" w:color="auto"/>
        <w:right w:val="none" w:sz="0" w:space="0" w:color="auto"/>
      </w:divBdr>
    </w:div>
    <w:div w:id="1220554899">
      <w:bodyDiv w:val="1"/>
      <w:marLeft w:val="0"/>
      <w:marRight w:val="0"/>
      <w:marTop w:val="0"/>
      <w:marBottom w:val="0"/>
      <w:divBdr>
        <w:top w:val="none" w:sz="0" w:space="0" w:color="auto"/>
        <w:left w:val="none" w:sz="0" w:space="0" w:color="auto"/>
        <w:bottom w:val="none" w:sz="0" w:space="0" w:color="auto"/>
        <w:right w:val="none" w:sz="0" w:space="0" w:color="auto"/>
      </w:divBdr>
    </w:div>
    <w:div w:id="1413087542">
      <w:bodyDiv w:val="1"/>
      <w:marLeft w:val="0"/>
      <w:marRight w:val="0"/>
      <w:marTop w:val="0"/>
      <w:marBottom w:val="0"/>
      <w:divBdr>
        <w:top w:val="none" w:sz="0" w:space="0" w:color="auto"/>
        <w:left w:val="none" w:sz="0" w:space="0" w:color="auto"/>
        <w:bottom w:val="none" w:sz="0" w:space="0" w:color="auto"/>
        <w:right w:val="none" w:sz="0" w:space="0" w:color="auto"/>
      </w:divBdr>
    </w:div>
    <w:div w:id="2118020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library.unm.edu/" TargetMode="External"/><Relationship Id="rId3" Type="http://schemas.openxmlformats.org/officeDocument/2006/relationships/settings" Target="settings.xml"/><Relationship Id="rId7" Type="http://schemas.openxmlformats.org/officeDocument/2006/relationships/hyperlink" Target="http://caps.unm.edu/programs/online-tuto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athfinder.unm.edu/campus-policies/academic-" TargetMode="External"/><Relationship Id="rId11" Type="http://schemas.openxmlformats.org/officeDocument/2006/relationships/theme" Target="theme/theme1.xml"/><Relationship Id="rId5" Type="http://schemas.openxmlformats.org/officeDocument/2006/relationships/hyperlink" Target="http://registrar.unm.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online.unm.edu/help/learn/support/sh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1366</Words>
  <Characters>7788</Characters>
  <Application>Microsoft Office Word</Application>
  <DocSecurity>0</DocSecurity>
  <Lines>64</Lines>
  <Paragraphs>18</Paragraphs>
  <ScaleCrop>false</ScaleCrop>
  <Company>Embry-Riddle Aeronautical University</Company>
  <LinksUpToDate>false</LinksUpToDate>
  <CharactersWithSpaces>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ME 597 Syllabus 2021.doc</dc:title>
  <dc:subject/>
  <dc:creator>cdhall</dc:creator>
  <cp:keywords/>
  <cp:lastModifiedBy>Lovell, Thomas</cp:lastModifiedBy>
  <cp:revision>2</cp:revision>
  <dcterms:created xsi:type="dcterms:W3CDTF">2025-01-22T04:15:00Z</dcterms:created>
  <dcterms:modified xsi:type="dcterms:W3CDTF">2025-01-22T04:15:00Z</dcterms:modified>
</cp:coreProperties>
</file>